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20699" w:rsidRPr="0002069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F7CAD" w:rsidRPr="00020699" w:rsidRDefault="00BF7CAD">
            <w:pPr>
              <w:widowControl w:val="0"/>
              <w:autoSpaceDE w:val="0"/>
              <w:autoSpaceDN w:val="0"/>
              <w:adjustRightInd w:val="0"/>
              <w:spacing w:after="0" w:line="240" w:lineRule="auto"/>
              <w:rPr>
                <w:rFonts w:ascii="Times New Roman" w:hAnsi="Times New Roman" w:cs="Times New Roman"/>
                <w:sz w:val="2"/>
                <w:szCs w:val="2"/>
              </w:rPr>
            </w:pPr>
            <w:r w:rsidRPr="00020699">
              <w:rPr>
                <w:rFonts w:ascii="Times New Roman" w:hAnsi="Times New Roman" w:cs="Times New Roman"/>
                <w:sz w:val="2"/>
                <w:szCs w:val="2"/>
              </w:rPr>
              <w:t>\ql</w:t>
            </w:r>
          </w:p>
          <w:p w:rsidR="00BF7CAD" w:rsidRPr="00020699" w:rsidRDefault="00BF7CAD">
            <w:pPr>
              <w:widowControl w:val="0"/>
              <w:autoSpaceDE w:val="0"/>
              <w:autoSpaceDN w:val="0"/>
              <w:adjustRightInd w:val="0"/>
              <w:spacing w:after="0" w:line="240" w:lineRule="auto"/>
              <w:rPr>
                <w:rFonts w:ascii="Times New Roman" w:hAnsi="Times New Roman" w:cs="Times New Roman"/>
                <w:sz w:val="2"/>
                <w:szCs w:val="2"/>
              </w:rPr>
            </w:pPr>
          </w:p>
        </w:tc>
      </w:tr>
      <w:tr w:rsidR="00020699" w:rsidRPr="0002069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F7CAD" w:rsidRPr="00020699" w:rsidRDefault="00BF7CAD">
            <w:pPr>
              <w:widowControl w:val="0"/>
              <w:autoSpaceDE w:val="0"/>
              <w:autoSpaceDN w:val="0"/>
              <w:adjustRightInd w:val="0"/>
              <w:spacing w:after="0" w:line="240" w:lineRule="auto"/>
              <w:jc w:val="center"/>
              <w:rPr>
                <w:rFonts w:ascii="Tahoma" w:hAnsi="Tahoma" w:cs="Tahoma"/>
                <w:sz w:val="48"/>
                <w:szCs w:val="48"/>
              </w:rPr>
            </w:pPr>
            <w:r w:rsidRPr="00020699">
              <w:rPr>
                <w:rFonts w:ascii="Tahoma" w:hAnsi="Tahoma" w:cs="Tahoma"/>
                <w:sz w:val="48"/>
                <w:szCs w:val="48"/>
              </w:rPr>
              <w:t>Постановление Правительства ХМАО - Югры от 27.12.2013 N 591-п</w:t>
            </w:r>
            <w:r w:rsidRPr="00020699">
              <w:rPr>
                <w:rFonts w:ascii="Tahoma" w:hAnsi="Tahoma" w:cs="Tahoma"/>
                <w:sz w:val="48"/>
                <w:szCs w:val="48"/>
              </w:rPr>
              <w:br/>
              <w:t>(ред. от 29.05.2014)</w:t>
            </w:r>
            <w:r w:rsidRPr="00020699">
              <w:rPr>
                <w:rFonts w:ascii="Tahoma" w:hAnsi="Tahoma" w:cs="Tahoma"/>
                <w:sz w:val="48"/>
                <w:szCs w:val="48"/>
              </w:rPr>
              <w:br/>
              <w:t>"О Порядке отбора инвестиционных проектов, осуществляемых на принципах государственно-частного партнерства, и использования бюджетных ассигнований инвестиционного фонда Ханты-Мансийского автономного округа - Югры"</w:t>
            </w:r>
          </w:p>
          <w:p w:rsidR="00BF7CAD" w:rsidRPr="00020699" w:rsidRDefault="00BF7CAD">
            <w:pPr>
              <w:widowControl w:val="0"/>
              <w:autoSpaceDE w:val="0"/>
              <w:autoSpaceDN w:val="0"/>
              <w:adjustRightInd w:val="0"/>
              <w:spacing w:after="0" w:line="240" w:lineRule="auto"/>
              <w:jc w:val="center"/>
              <w:rPr>
                <w:rFonts w:ascii="Tahoma" w:hAnsi="Tahoma" w:cs="Tahoma"/>
                <w:sz w:val="48"/>
                <w:szCs w:val="48"/>
              </w:rPr>
            </w:pPr>
          </w:p>
        </w:tc>
      </w:tr>
      <w:tr w:rsidR="00020699" w:rsidRPr="0002069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F7CAD" w:rsidRPr="00020699" w:rsidRDefault="00BF7CAD" w:rsidP="00020699">
            <w:pPr>
              <w:widowControl w:val="0"/>
              <w:autoSpaceDE w:val="0"/>
              <w:autoSpaceDN w:val="0"/>
              <w:adjustRightInd w:val="0"/>
              <w:spacing w:after="0" w:line="240" w:lineRule="auto"/>
              <w:jc w:val="center"/>
              <w:rPr>
                <w:rFonts w:ascii="Tahoma" w:hAnsi="Tahoma" w:cs="Tahoma"/>
                <w:sz w:val="28"/>
                <w:szCs w:val="28"/>
              </w:rPr>
            </w:pPr>
          </w:p>
        </w:tc>
      </w:tr>
    </w:tbl>
    <w:p w:rsidR="00BF7CAD" w:rsidRPr="00020699" w:rsidRDefault="00BF7CAD">
      <w:pPr>
        <w:widowControl w:val="0"/>
        <w:autoSpaceDE w:val="0"/>
        <w:autoSpaceDN w:val="0"/>
        <w:adjustRightInd w:val="0"/>
        <w:spacing w:after="0" w:line="240" w:lineRule="auto"/>
        <w:rPr>
          <w:rFonts w:ascii="Times New Roman" w:hAnsi="Times New Roman" w:cs="Times New Roman"/>
          <w:sz w:val="24"/>
          <w:szCs w:val="24"/>
        </w:rPr>
        <w:sectPr w:rsidR="00BF7CAD" w:rsidRPr="00020699">
          <w:type w:val="continuous"/>
          <w:pgSz w:w="11906" w:h="16838"/>
          <w:pgMar w:top="0" w:right="595" w:bottom="0" w:left="595" w:header="0" w:footer="0" w:gutter="0"/>
          <w:cols w:space="720"/>
          <w:noEndnote/>
        </w:sectPr>
      </w:pPr>
    </w:p>
    <w:p w:rsidR="00BF7CAD" w:rsidRPr="00020699" w:rsidRDefault="00BF7CAD">
      <w:pPr>
        <w:pStyle w:val="ConsPlusNormal"/>
        <w:outlineLvl w:val="0"/>
      </w:pPr>
    </w:p>
    <w:p w:rsidR="00BF7CAD" w:rsidRPr="00020699" w:rsidRDefault="00BF7CAD">
      <w:pPr>
        <w:pStyle w:val="ConsPlusNormal"/>
        <w:jc w:val="center"/>
        <w:outlineLvl w:val="0"/>
        <w:rPr>
          <w:b/>
          <w:bCs/>
        </w:rPr>
      </w:pPr>
      <w:bookmarkStart w:id="0" w:name="Par1"/>
      <w:bookmarkEnd w:id="0"/>
      <w:r w:rsidRPr="00020699">
        <w:rPr>
          <w:b/>
          <w:bCs/>
        </w:rPr>
        <w:t>ПРАВИТЕЛЬСТВО ХАНТЫ-МАНСИЙСКОГО АВТОНОМНОГО ОКРУГА - ЮГРЫ</w:t>
      </w:r>
    </w:p>
    <w:p w:rsidR="00BF7CAD" w:rsidRPr="00020699" w:rsidRDefault="00BF7CAD">
      <w:pPr>
        <w:pStyle w:val="ConsPlusNormal"/>
        <w:jc w:val="center"/>
        <w:rPr>
          <w:b/>
          <w:bCs/>
        </w:rPr>
      </w:pPr>
    </w:p>
    <w:p w:rsidR="00BF7CAD" w:rsidRPr="00020699" w:rsidRDefault="00BF7CAD">
      <w:pPr>
        <w:pStyle w:val="ConsPlusNormal"/>
        <w:jc w:val="center"/>
        <w:rPr>
          <w:b/>
          <w:bCs/>
        </w:rPr>
      </w:pPr>
      <w:r w:rsidRPr="00020699">
        <w:rPr>
          <w:b/>
          <w:bCs/>
        </w:rPr>
        <w:t>ПОСТАНОВЛЕНИЕ</w:t>
      </w:r>
    </w:p>
    <w:p w:rsidR="00BF7CAD" w:rsidRPr="00020699" w:rsidRDefault="00BF7CAD">
      <w:pPr>
        <w:pStyle w:val="ConsPlusNormal"/>
        <w:jc w:val="center"/>
        <w:rPr>
          <w:b/>
          <w:bCs/>
        </w:rPr>
      </w:pPr>
      <w:r w:rsidRPr="00020699">
        <w:rPr>
          <w:b/>
          <w:bCs/>
        </w:rPr>
        <w:t>от 27 декабря 2013 г. N 591-п</w:t>
      </w:r>
    </w:p>
    <w:p w:rsidR="00BF7CAD" w:rsidRPr="00020699" w:rsidRDefault="00BF7CAD">
      <w:pPr>
        <w:pStyle w:val="ConsPlusNormal"/>
        <w:jc w:val="center"/>
        <w:rPr>
          <w:b/>
          <w:bCs/>
        </w:rPr>
      </w:pPr>
    </w:p>
    <w:p w:rsidR="00BF7CAD" w:rsidRPr="00020699" w:rsidRDefault="00BF7CAD">
      <w:pPr>
        <w:pStyle w:val="ConsPlusNormal"/>
        <w:jc w:val="center"/>
        <w:rPr>
          <w:b/>
          <w:bCs/>
        </w:rPr>
      </w:pPr>
      <w:r w:rsidRPr="00020699">
        <w:rPr>
          <w:b/>
          <w:bCs/>
        </w:rPr>
        <w:t>О ПОРЯДКЕ ОТБОРА ИНВЕСТИЦИОННЫХ ПРОЕКТОВ, ОСУЩЕСТВЛЯЕМЫХ</w:t>
      </w:r>
    </w:p>
    <w:p w:rsidR="00BF7CAD" w:rsidRPr="00020699" w:rsidRDefault="00BF7CAD">
      <w:pPr>
        <w:pStyle w:val="ConsPlusNormal"/>
        <w:jc w:val="center"/>
        <w:rPr>
          <w:b/>
          <w:bCs/>
        </w:rPr>
      </w:pPr>
      <w:r w:rsidRPr="00020699">
        <w:rPr>
          <w:b/>
          <w:bCs/>
        </w:rPr>
        <w:t>НА ПРИНЦИПАХ ГОСУДАРСТВЕННО-ЧАСТНОГО ПАРТНЕРСТВА,</w:t>
      </w:r>
    </w:p>
    <w:p w:rsidR="00BF7CAD" w:rsidRPr="00020699" w:rsidRDefault="00BF7CAD">
      <w:pPr>
        <w:pStyle w:val="ConsPlusNormal"/>
        <w:jc w:val="center"/>
        <w:rPr>
          <w:b/>
          <w:bCs/>
        </w:rPr>
      </w:pPr>
      <w:r w:rsidRPr="00020699">
        <w:rPr>
          <w:b/>
          <w:bCs/>
        </w:rPr>
        <w:t>И ИСПОЛЬЗОВАНИЯ БЮДЖЕТНЫХ АССИГНОВАНИЙ ИНВЕСТИЦИОННОГО ФОНДА</w:t>
      </w:r>
    </w:p>
    <w:p w:rsidR="00BF7CAD" w:rsidRPr="00020699" w:rsidRDefault="00BF7CAD">
      <w:pPr>
        <w:pStyle w:val="ConsPlusNormal"/>
        <w:jc w:val="center"/>
        <w:rPr>
          <w:b/>
          <w:bCs/>
        </w:rPr>
      </w:pPr>
      <w:r w:rsidRPr="00020699">
        <w:rPr>
          <w:b/>
          <w:bCs/>
        </w:rPr>
        <w:t>ХАНТЫ-МАНСИЙСКОГО АВТОНОМНОГО ОКРУГА - ЮГРЫ</w:t>
      </w:r>
    </w:p>
    <w:p w:rsidR="00BF7CAD" w:rsidRPr="00020699" w:rsidRDefault="00BF7CAD">
      <w:pPr>
        <w:pStyle w:val="ConsPlusNormal"/>
        <w:jc w:val="center"/>
      </w:pPr>
    </w:p>
    <w:p w:rsidR="00BF7CAD" w:rsidRPr="00020699" w:rsidRDefault="00BF7CAD">
      <w:pPr>
        <w:pStyle w:val="ConsPlusNormal"/>
        <w:jc w:val="center"/>
      </w:pPr>
      <w:r w:rsidRPr="00020699">
        <w:t xml:space="preserve">(в ред. </w:t>
      </w:r>
      <w:hyperlink r:id="rId6" w:tooltip="Постановление Правительства ХМАО - Югры от 29.05.2014 N 199-п &quot;О внесении изменений в некоторые постановления Правительства Ханты-Мансийского автономного округа - Югры&quot;{КонсультантПлюс}" w:history="1">
        <w:r w:rsidRPr="00020699">
          <w:t>постановления</w:t>
        </w:r>
      </w:hyperlink>
      <w:r w:rsidRPr="00020699">
        <w:t xml:space="preserve"> Правительства ХМАО - Югры</w:t>
      </w:r>
    </w:p>
    <w:p w:rsidR="00BF7CAD" w:rsidRPr="00020699" w:rsidRDefault="00BF7CAD">
      <w:pPr>
        <w:pStyle w:val="ConsPlusNormal"/>
        <w:jc w:val="center"/>
      </w:pPr>
      <w:r w:rsidRPr="00020699">
        <w:t>от 29.05.2014 N 199-п)</w:t>
      </w:r>
    </w:p>
    <w:p w:rsidR="00BF7CAD" w:rsidRPr="00020699" w:rsidRDefault="00BF7CAD">
      <w:pPr>
        <w:pStyle w:val="ConsPlusNormal"/>
        <w:jc w:val="center"/>
      </w:pPr>
    </w:p>
    <w:p w:rsidR="00BF7CAD" w:rsidRPr="00020699" w:rsidRDefault="00BF7CAD">
      <w:pPr>
        <w:pStyle w:val="ConsPlusNormal"/>
        <w:ind w:firstLine="540"/>
        <w:jc w:val="both"/>
      </w:pPr>
      <w:r w:rsidRPr="00020699">
        <w:t xml:space="preserve">В соответствии со </w:t>
      </w:r>
      <w:hyperlink r:id="rId7" w:tooltip="&quot;Бюджетный кодекс Российской Федерации&quot; от 31.07.1998 N 145-ФЗ (ред. от 26.12.2014) (с изм. и доп., вступ. в силу с 01.01.2015){КонсультантПлюс}" w:history="1">
        <w:r w:rsidRPr="00020699">
          <w:t>статьей 179.2</w:t>
        </w:r>
      </w:hyperlink>
      <w:r w:rsidRPr="00020699">
        <w:t xml:space="preserve"> Бюджетного кодекса Российской Федерации, в целях реализации </w:t>
      </w:r>
      <w:hyperlink r:id="rId8" w:tooltip="Закон ХМАО - Югры от 01.07.2013 N 59-оз &quot;Об инвестиционном фонде Ханты-Мансийского автономного округа - Югры&quot; (принят Думой Ханты-Мансийского автономного округа - Югры 27.06.2013){КонсультантПлюс}" w:history="1">
        <w:r w:rsidRPr="00020699">
          <w:t>Закона</w:t>
        </w:r>
      </w:hyperlink>
      <w:r w:rsidRPr="00020699">
        <w:t xml:space="preserve"> Ханты-Мансийского автономного округа - Югры от 1 июля 2013 года N 59-оз "Об инвестиционном фонде Ханты-Мансийского автономного округа - Югры" Правительство Ханты-Мансийского автономного округа - Югры постановляет:</w:t>
      </w:r>
    </w:p>
    <w:p w:rsidR="00BF7CAD" w:rsidRPr="00020699" w:rsidRDefault="00BF7CAD">
      <w:pPr>
        <w:pStyle w:val="ConsPlusNormal"/>
        <w:ind w:firstLine="540"/>
        <w:jc w:val="both"/>
      </w:pPr>
      <w:r w:rsidRPr="00020699">
        <w:t xml:space="preserve">1. Утвердить прилагаемый </w:t>
      </w:r>
      <w:hyperlink w:anchor="Par33" w:tooltip="Ссылка на текущий документ" w:history="1">
        <w:r w:rsidRPr="00020699">
          <w:t>Порядок</w:t>
        </w:r>
      </w:hyperlink>
      <w:r w:rsidRPr="00020699">
        <w:t xml:space="preserve"> отбора инвестиционных проектов, осуществляемых на принципах государственно-частного партнерства, и использования бюджетных ассигнований инвестиционного фонда Ханты-Мансийского автономного округа - Югры.</w:t>
      </w:r>
    </w:p>
    <w:p w:rsidR="00BF7CAD" w:rsidRPr="00020699" w:rsidRDefault="00BF7CAD">
      <w:pPr>
        <w:pStyle w:val="ConsPlusNormal"/>
        <w:ind w:firstLine="540"/>
        <w:jc w:val="both"/>
      </w:pPr>
      <w:r w:rsidRPr="00020699">
        <w:t>2. Настоящее постановление вступает в силу с 1 января 2014 года.</w:t>
      </w:r>
    </w:p>
    <w:p w:rsidR="00BF7CAD" w:rsidRPr="00020699" w:rsidRDefault="00BF7CAD">
      <w:pPr>
        <w:pStyle w:val="ConsPlusNormal"/>
        <w:jc w:val="both"/>
      </w:pPr>
    </w:p>
    <w:p w:rsidR="00BF7CAD" w:rsidRPr="00020699" w:rsidRDefault="00BF7CAD">
      <w:pPr>
        <w:pStyle w:val="ConsPlusNormal"/>
        <w:jc w:val="right"/>
      </w:pPr>
      <w:r w:rsidRPr="00020699">
        <w:t>Губернатор</w:t>
      </w:r>
    </w:p>
    <w:p w:rsidR="00BF7CAD" w:rsidRPr="00020699" w:rsidRDefault="00BF7CAD">
      <w:pPr>
        <w:pStyle w:val="ConsPlusNormal"/>
        <w:jc w:val="right"/>
      </w:pPr>
      <w:r w:rsidRPr="00020699">
        <w:t>Ханты-Мансийского</w:t>
      </w:r>
    </w:p>
    <w:p w:rsidR="00BF7CAD" w:rsidRPr="00020699" w:rsidRDefault="00BF7CAD">
      <w:pPr>
        <w:pStyle w:val="ConsPlusNormal"/>
        <w:jc w:val="right"/>
      </w:pPr>
      <w:r w:rsidRPr="00020699">
        <w:t>автономного округа - Югры</w:t>
      </w:r>
    </w:p>
    <w:p w:rsidR="00BF7CAD" w:rsidRPr="00020699" w:rsidRDefault="00BF7CAD">
      <w:pPr>
        <w:pStyle w:val="ConsPlusNormal"/>
        <w:jc w:val="right"/>
      </w:pPr>
      <w:r w:rsidRPr="00020699">
        <w:t>Н.В.КОМАРОВА</w:t>
      </w:r>
    </w:p>
    <w:p w:rsidR="00BF7CAD" w:rsidRPr="00020699" w:rsidRDefault="00BF7CAD">
      <w:pPr>
        <w:pStyle w:val="ConsPlusNormal"/>
      </w:pPr>
    </w:p>
    <w:p w:rsidR="00BF7CAD" w:rsidRPr="00020699" w:rsidRDefault="00BF7CAD">
      <w:pPr>
        <w:pStyle w:val="ConsPlusNormal"/>
      </w:pPr>
    </w:p>
    <w:p w:rsidR="00BF7CAD" w:rsidRPr="00020699" w:rsidRDefault="00BF7CAD">
      <w:pPr>
        <w:pStyle w:val="ConsPlusNormal"/>
      </w:pPr>
    </w:p>
    <w:p w:rsidR="00BF7CAD" w:rsidRPr="00020699" w:rsidRDefault="00BF7CAD">
      <w:pPr>
        <w:pStyle w:val="ConsPlusNormal"/>
      </w:pPr>
    </w:p>
    <w:p w:rsidR="00BF7CAD" w:rsidRPr="00020699" w:rsidRDefault="00BF7CAD">
      <w:pPr>
        <w:pStyle w:val="ConsPlusNormal"/>
      </w:pPr>
    </w:p>
    <w:p w:rsidR="00BF7CAD" w:rsidRPr="00020699" w:rsidRDefault="00BF7CAD">
      <w:pPr>
        <w:pStyle w:val="ConsPlusNormal"/>
        <w:jc w:val="right"/>
        <w:outlineLvl w:val="0"/>
      </w:pPr>
      <w:bookmarkStart w:id="1" w:name="Par27"/>
      <w:bookmarkEnd w:id="1"/>
      <w:r w:rsidRPr="00020699">
        <w:t>Приложение</w:t>
      </w:r>
    </w:p>
    <w:p w:rsidR="00BF7CAD" w:rsidRPr="00020699" w:rsidRDefault="00BF7CAD">
      <w:pPr>
        <w:pStyle w:val="ConsPlusNormal"/>
        <w:jc w:val="right"/>
      </w:pPr>
      <w:r w:rsidRPr="00020699">
        <w:t>к постановлению Правительства</w:t>
      </w:r>
    </w:p>
    <w:p w:rsidR="00BF7CAD" w:rsidRPr="00020699" w:rsidRDefault="00BF7CAD">
      <w:pPr>
        <w:pStyle w:val="ConsPlusNormal"/>
        <w:jc w:val="right"/>
      </w:pPr>
      <w:r w:rsidRPr="00020699">
        <w:t>Ханты-Мансийского</w:t>
      </w:r>
    </w:p>
    <w:p w:rsidR="00BF7CAD" w:rsidRPr="00020699" w:rsidRDefault="00BF7CAD">
      <w:pPr>
        <w:pStyle w:val="ConsPlusNormal"/>
        <w:jc w:val="right"/>
      </w:pPr>
      <w:r w:rsidRPr="00020699">
        <w:t>автономного округа - Югры</w:t>
      </w:r>
    </w:p>
    <w:p w:rsidR="00BF7CAD" w:rsidRPr="00020699" w:rsidRDefault="00BF7CAD">
      <w:pPr>
        <w:pStyle w:val="ConsPlusNormal"/>
        <w:jc w:val="right"/>
      </w:pPr>
      <w:r w:rsidRPr="00020699">
        <w:t>от 27 декабря 2013 года N 591-п</w:t>
      </w:r>
    </w:p>
    <w:p w:rsidR="00BF7CAD" w:rsidRPr="00020699" w:rsidRDefault="00BF7CAD">
      <w:pPr>
        <w:pStyle w:val="ConsPlusNormal"/>
      </w:pPr>
    </w:p>
    <w:p w:rsidR="00BF7CAD" w:rsidRPr="00020699" w:rsidRDefault="00BF7CAD">
      <w:pPr>
        <w:pStyle w:val="ConsPlusNormal"/>
        <w:jc w:val="center"/>
        <w:rPr>
          <w:b/>
          <w:bCs/>
        </w:rPr>
      </w:pPr>
      <w:bookmarkStart w:id="2" w:name="Par33"/>
      <w:bookmarkEnd w:id="2"/>
      <w:r w:rsidRPr="00020699">
        <w:rPr>
          <w:b/>
          <w:bCs/>
        </w:rPr>
        <w:t>ПОРЯДОК</w:t>
      </w:r>
    </w:p>
    <w:p w:rsidR="00BF7CAD" w:rsidRPr="00020699" w:rsidRDefault="00BF7CAD">
      <w:pPr>
        <w:pStyle w:val="ConsPlusNormal"/>
        <w:jc w:val="center"/>
        <w:rPr>
          <w:b/>
          <w:bCs/>
        </w:rPr>
      </w:pPr>
      <w:r w:rsidRPr="00020699">
        <w:rPr>
          <w:b/>
          <w:bCs/>
        </w:rPr>
        <w:t>ОТБОРА ИНВЕСТИЦИОННЫХ ПРОЕКТОВ, ОСУЩЕСТВЛЯЕМЫХ НА ПРИНЦИПАХ</w:t>
      </w:r>
    </w:p>
    <w:p w:rsidR="00BF7CAD" w:rsidRPr="00020699" w:rsidRDefault="00BF7CAD">
      <w:pPr>
        <w:pStyle w:val="ConsPlusNormal"/>
        <w:jc w:val="center"/>
        <w:rPr>
          <w:b/>
          <w:bCs/>
        </w:rPr>
      </w:pPr>
      <w:r w:rsidRPr="00020699">
        <w:rPr>
          <w:b/>
          <w:bCs/>
        </w:rPr>
        <w:t>ГОСУДАРСТВЕННО-ЧАСТНОГО ПАРТНЕРСТВА, И ИСПОЛЬЗОВАНИЯ</w:t>
      </w:r>
    </w:p>
    <w:p w:rsidR="00BF7CAD" w:rsidRPr="00020699" w:rsidRDefault="00BF7CAD">
      <w:pPr>
        <w:pStyle w:val="ConsPlusNormal"/>
        <w:jc w:val="center"/>
        <w:rPr>
          <w:b/>
          <w:bCs/>
        </w:rPr>
      </w:pPr>
      <w:r w:rsidRPr="00020699">
        <w:rPr>
          <w:b/>
          <w:bCs/>
        </w:rPr>
        <w:t>БЮДЖЕТНЫХ АССИГНОВАНИЙ ИНВЕСТИЦИОННОГО ФОНДА</w:t>
      </w:r>
    </w:p>
    <w:p w:rsidR="00BF7CAD" w:rsidRPr="00020699" w:rsidRDefault="00BF7CAD">
      <w:pPr>
        <w:pStyle w:val="ConsPlusNormal"/>
        <w:jc w:val="center"/>
        <w:rPr>
          <w:b/>
          <w:bCs/>
        </w:rPr>
      </w:pPr>
      <w:r w:rsidRPr="00020699">
        <w:rPr>
          <w:b/>
          <w:bCs/>
        </w:rPr>
        <w:t>ХАНТЫ-МАНСИЙСКОГО АВТОНОМНОГО ОКРУГА - ЮГРЫ</w:t>
      </w:r>
    </w:p>
    <w:p w:rsidR="00BF7CAD" w:rsidRPr="00020699" w:rsidRDefault="00BF7CAD">
      <w:pPr>
        <w:pStyle w:val="ConsPlusNormal"/>
        <w:jc w:val="center"/>
        <w:rPr>
          <w:b/>
          <w:bCs/>
        </w:rPr>
      </w:pPr>
      <w:r w:rsidRPr="00020699">
        <w:rPr>
          <w:b/>
          <w:bCs/>
        </w:rPr>
        <w:t>(ДАЛЕЕ - ПОРЯДОК)</w:t>
      </w:r>
    </w:p>
    <w:p w:rsidR="00BF7CAD" w:rsidRPr="00020699" w:rsidRDefault="00BF7CAD">
      <w:pPr>
        <w:pStyle w:val="ConsPlusNormal"/>
        <w:jc w:val="center"/>
      </w:pPr>
    </w:p>
    <w:p w:rsidR="00BF7CAD" w:rsidRPr="00020699" w:rsidRDefault="00BF7CAD">
      <w:pPr>
        <w:pStyle w:val="ConsPlusNormal"/>
        <w:jc w:val="center"/>
      </w:pPr>
      <w:r w:rsidRPr="00020699">
        <w:t xml:space="preserve">(в ред. </w:t>
      </w:r>
      <w:hyperlink r:id="rId9" w:tooltip="Постановление Правительства ХМАО - Югры от 29.05.2014 N 199-п &quot;О внесении изменений в некоторые постановления Правительства Ханты-Мансийского автономного округа - Югры&quot;{КонсультантПлюс}" w:history="1">
        <w:r w:rsidRPr="00020699">
          <w:t>постановления</w:t>
        </w:r>
      </w:hyperlink>
      <w:r w:rsidRPr="00020699">
        <w:t xml:space="preserve"> Правительства ХМАО - Югры</w:t>
      </w:r>
    </w:p>
    <w:p w:rsidR="00BF7CAD" w:rsidRPr="00020699" w:rsidRDefault="00BF7CAD">
      <w:pPr>
        <w:pStyle w:val="ConsPlusNormal"/>
        <w:jc w:val="center"/>
      </w:pPr>
      <w:r w:rsidRPr="00020699">
        <w:t>от 29.05.2014 N 199-п)</w:t>
      </w:r>
    </w:p>
    <w:p w:rsidR="00BF7CAD" w:rsidRPr="00020699" w:rsidRDefault="00BF7CAD">
      <w:pPr>
        <w:pStyle w:val="ConsPlusNormal"/>
      </w:pPr>
    </w:p>
    <w:p w:rsidR="00BF7CAD" w:rsidRPr="00020699" w:rsidRDefault="00BF7CAD">
      <w:pPr>
        <w:pStyle w:val="ConsPlusNormal"/>
        <w:jc w:val="center"/>
        <w:outlineLvl w:val="1"/>
      </w:pPr>
      <w:bookmarkStart w:id="3" w:name="Par43"/>
      <w:bookmarkEnd w:id="3"/>
      <w:r w:rsidRPr="00020699">
        <w:t>I. Общие положения</w:t>
      </w:r>
    </w:p>
    <w:p w:rsidR="00BF7CAD" w:rsidRPr="00020699" w:rsidRDefault="00BF7CAD">
      <w:pPr>
        <w:pStyle w:val="ConsPlusNormal"/>
      </w:pPr>
    </w:p>
    <w:p w:rsidR="00BF7CAD" w:rsidRPr="00020699" w:rsidRDefault="00BF7CAD">
      <w:pPr>
        <w:pStyle w:val="ConsPlusNormal"/>
        <w:ind w:firstLine="540"/>
        <w:jc w:val="both"/>
      </w:pPr>
      <w:r w:rsidRPr="00020699">
        <w:t>1.1. Настоящий Порядок определяет процедуру отбора инвестиционных проектов, осуществляемых на принципах государственно-частного партнерства, претендующих на предоставление бюджетных ассигнований инвестиционного фонда Ханты-Мансийского автономного округа - Югры (далее - отбор, инвестиционный фонд, автономный округ), а также использования бюджетных ассигнований инвестиционного фонда.</w:t>
      </w:r>
    </w:p>
    <w:p w:rsidR="00BF7CAD" w:rsidRPr="00020699" w:rsidRDefault="00BF7CAD">
      <w:pPr>
        <w:pStyle w:val="ConsPlusNormal"/>
        <w:ind w:firstLine="540"/>
        <w:jc w:val="both"/>
      </w:pPr>
      <w:r w:rsidRPr="00020699">
        <w:t>1.2. Для целей настоящего Порядка используются следующие основные понятия:</w:t>
      </w:r>
    </w:p>
    <w:p w:rsidR="00BF7CAD" w:rsidRPr="00020699" w:rsidRDefault="00BF7CAD">
      <w:pPr>
        <w:pStyle w:val="ConsPlusNormal"/>
        <w:ind w:firstLine="540"/>
        <w:jc w:val="both"/>
      </w:pPr>
      <w:r w:rsidRPr="00020699">
        <w:t>объект (объекты) капитального строительства частной собственности - объект капитального строительства, поступающий в частную собственность инвестора, относящийся к объектам производства или инфраструктуры;</w:t>
      </w:r>
    </w:p>
    <w:p w:rsidR="00BF7CAD" w:rsidRPr="00020699" w:rsidRDefault="00BF7CAD">
      <w:pPr>
        <w:pStyle w:val="ConsPlusNormal"/>
        <w:ind w:firstLine="540"/>
        <w:jc w:val="both"/>
      </w:pPr>
      <w:r w:rsidRPr="00020699">
        <w:t xml:space="preserve">объект (объекты) капитального строительства государственной (муниципальной) собственности - </w:t>
      </w:r>
      <w:r w:rsidRPr="00020699">
        <w:lastRenderedPageBreak/>
        <w:t>объект (объекты) капитального строительства, создаваемый в соответствии с инвестиционным проектом, поступающий в государственную собственность автономного округа и (или) в муниципальную собственность муниципальных образований автономного округа, относящийся к транспортной, энергетической и (или) инженерной инфраструктуре, необходимой для обеспечения функционирования создаваемых объектов капитального строительства частной собственности;</w:t>
      </w:r>
    </w:p>
    <w:p w:rsidR="00BF7CAD" w:rsidRPr="00020699" w:rsidRDefault="00BF7CAD">
      <w:pPr>
        <w:pStyle w:val="ConsPlusNormal"/>
        <w:ind w:firstLine="540"/>
        <w:jc w:val="both"/>
      </w:pPr>
      <w:r w:rsidRPr="00020699">
        <w:t xml:space="preserve">объект (объекты) капитального строительства государственной (муниципальной) собственности в соответствии с концессионными соглашениями - объект (объекты) капитального строительства государственной (муниципальной) собственности, строительство которого предусмотрено в концессионных соглашениях, заключенных в порядке, установленном Федеральным </w:t>
      </w:r>
      <w:hyperlink r:id="rId10" w:tooltip="Федеральный закон от 21.07.2005 N 115-ФЗ (ред. от 28.06.2014) &quot;О концессионных соглашениях&quot;{КонсультантПлюс}" w:history="1">
        <w:r w:rsidRPr="00020699">
          <w:t>законом</w:t>
        </w:r>
      </w:hyperlink>
      <w:r w:rsidRPr="00020699">
        <w:t xml:space="preserve"> от 21 июля 2005 года N 115-ФЗ "О концессионных соглашениях";</w:t>
      </w:r>
    </w:p>
    <w:p w:rsidR="00BF7CAD" w:rsidRPr="00020699" w:rsidRDefault="00BF7CAD">
      <w:pPr>
        <w:pStyle w:val="ConsPlusNormal"/>
        <w:ind w:firstLine="540"/>
        <w:jc w:val="both"/>
      </w:pPr>
      <w:r w:rsidRPr="00020699">
        <w:t>инвестор - юридическое лицо, финансирующее создание и (или) реконструкцию объектов капитального строительства частной собственности, приобретающее имущественные права на указанные объекты, а также концессионер - в случае реализации концессионного соглашения;</w:t>
      </w:r>
    </w:p>
    <w:p w:rsidR="00BF7CAD" w:rsidRPr="00020699" w:rsidRDefault="00BF7CAD">
      <w:pPr>
        <w:pStyle w:val="ConsPlusNormal"/>
        <w:ind w:firstLine="540"/>
        <w:jc w:val="both"/>
      </w:pPr>
      <w:r w:rsidRPr="00020699">
        <w:t>инвестиционный проект - проект, предусматривающий создание объекта (объектов) капитального строительства государственной (муниципальной) собственности, с одной стороны, и объекта (объектов) капитального строительства частной собственности, с другой стороны, а также (при необходимости) предполагающий подготовку и проведение конкурсов на право заключения концессионного соглашения, разработку проектной документации, подготовку территории строительства, создание и реконструкцию объектов капитального строительства в соответствии с концессионным соглашением;</w:t>
      </w:r>
    </w:p>
    <w:p w:rsidR="00BF7CAD" w:rsidRPr="00020699" w:rsidRDefault="00BF7CAD">
      <w:pPr>
        <w:pStyle w:val="ConsPlusNormal"/>
        <w:ind w:firstLine="540"/>
        <w:jc w:val="both"/>
      </w:pPr>
      <w:r w:rsidRPr="00020699">
        <w:t>отбор инвестиционных проектов - устанавливаемая настоящим Порядком конкурсная процедура, по результатам которой может быть принято решение о финансировании за счет бюджетных ассигнований инвестиционного фонда реализации инвестиционного проекта.</w:t>
      </w:r>
    </w:p>
    <w:p w:rsidR="00BF7CAD" w:rsidRPr="00020699" w:rsidRDefault="00BF7CAD">
      <w:pPr>
        <w:pStyle w:val="ConsPlusNormal"/>
        <w:ind w:firstLine="540"/>
        <w:jc w:val="both"/>
      </w:pPr>
      <w:r w:rsidRPr="00020699">
        <w:t xml:space="preserve">Остальные понятия, используемые в настоящем Порядке, применяются в том же значении, что и в Бюджетном </w:t>
      </w:r>
      <w:hyperlink r:id="rId11" w:tooltip="&quot;Бюджетный кодекс Российской Федерации&quot; от 31.07.1998 N 145-ФЗ (ред. от 26.12.2014) (с изм. и доп., вступ. в силу с 01.01.2015){КонсультантПлюс}" w:history="1">
        <w:r w:rsidRPr="00020699">
          <w:t>кодексе</w:t>
        </w:r>
      </w:hyperlink>
      <w:r w:rsidRPr="00020699">
        <w:t xml:space="preserve"> Российской Федерации, Федеральных законах от 25 февраля 1999 года </w:t>
      </w:r>
      <w:hyperlink r:id="rId12" w:tooltip="Федеральный закон от 25.02.1999 N 39-ФЗ (ред. от 28.12.2013) &quot;Об инвестиционной деятельности в Российской Федерации, осуществляемой в форме капитальных вложений&quot;{КонсультантПлюс}" w:history="1">
        <w:r w:rsidRPr="00020699">
          <w:t>N 39-ФЗ</w:t>
        </w:r>
      </w:hyperlink>
      <w:r w:rsidRPr="00020699">
        <w:t xml:space="preserve"> "Об инвестиционной деятельности в Российской Федерации, осуществляемой в форме капитальных вложений", от 21 июля 2005 года </w:t>
      </w:r>
      <w:hyperlink r:id="rId13" w:tooltip="Федеральный закон от 21.07.2005 N 115-ФЗ (ред. от 28.06.2014) &quot;О концессионных соглашениях&quot;{КонсультантПлюс}" w:history="1">
        <w:r w:rsidRPr="00020699">
          <w:t>N 115-ФЗ</w:t>
        </w:r>
      </w:hyperlink>
      <w:r w:rsidRPr="00020699">
        <w:t xml:space="preserve"> "О концессионных соглашениях".</w:t>
      </w:r>
    </w:p>
    <w:p w:rsidR="00BF7CAD" w:rsidRPr="00020699" w:rsidRDefault="00BF7CAD">
      <w:pPr>
        <w:pStyle w:val="ConsPlusNormal"/>
        <w:ind w:firstLine="540"/>
        <w:jc w:val="both"/>
      </w:pPr>
      <w:r w:rsidRPr="00020699">
        <w:t xml:space="preserve">1.3. Бюджетные ассигнования инвестиционного фонда могут быть предоставлены в целях реализации инвестиционного проекта в одной или нескольких формах, предусмотренных </w:t>
      </w:r>
      <w:hyperlink r:id="rId14" w:tooltip="Закон ХМАО - Югры от 01.07.2013 N 59-оз &quot;Об инвестиционном фонде Ханты-Мансийского автономного округа - Югры&quot; (принят Думой Ханты-Мансийского автономного округа - Югры 27.06.2013){КонсультантПлюс}" w:history="1">
        <w:r w:rsidRPr="00020699">
          <w:t>Законом</w:t>
        </w:r>
      </w:hyperlink>
      <w:r w:rsidRPr="00020699">
        <w:t xml:space="preserve"> Ханты-Мансийского автономного округа - Югры "Об инвестиционном фонде Ханты-Мансийского автономного округа - Югры".</w:t>
      </w:r>
    </w:p>
    <w:p w:rsidR="00BF7CAD" w:rsidRPr="00020699" w:rsidRDefault="00BF7CAD">
      <w:pPr>
        <w:pStyle w:val="ConsPlusNormal"/>
      </w:pPr>
    </w:p>
    <w:p w:rsidR="00BF7CAD" w:rsidRPr="00020699" w:rsidRDefault="00BF7CAD">
      <w:pPr>
        <w:pStyle w:val="ConsPlusNormal"/>
        <w:jc w:val="center"/>
        <w:outlineLvl w:val="1"/>
      </w:pPr>
      <w:bookmarkStart w:id="4" w:name="Par56"/>
      <w:bookmarkEnd w:id="4"/>
      <w:r w:rsidRPr="00020699">
        <w:t>II. Процедура отбора инвестиционных проектов</w:t>
      </w:r>
    </w:p>
    <w:p w:rsidR="00BF7CAD" w:rsidRPr="00020699" w:rsidRDefault="00BF7CAD">
      <w:pPr>
        <w:pStyle w:val="ConsPlusNormal"/>
      </w:pPr>
    </w:p>
    <w:p w:rsidR="00BF7CAD" w:rsidRPr="00020699" w:rsidRDefault="00BF7CAD">
      <w:pPr>
        <w:pStyle w:val="ConsPlusNormal"/>
        <w:ind w:firstLine="540"/>
        <w:jc w:val="both"/>
      </w:pPr>
      <w:bookmarkStart w:id="5" w:name="Par58"/>
      <w:bookmarkEnd w:id="5"/>
      <w:r w:rsidRPr="00020699">
        <w:t>2.1. К отбору инвестиционных проектов (далее также - отбор) допускается инвестиционный проект, предусматривающий осуществление одного или нескольких из следующих мероприятий:</w:t>
      </w:r>
    </w:p>
    <w:p w:rsidR="00BF7CAD" w:rsidRPr="00020699" w:rsidRDefault="00BF7CAD">
      <w:pPr>
        <w:pStyle w:val="ConsPlusNormal"/>
        <w:ind w:firstLine="540"/>
        <w:jc w:val="both"/>
      </w:pPr>
      <w:bookmarkStart w:id="6" w:name="Par59"/>
      <w:bookmarkEnd w:id="6"/>
      <w:r w:rsidRPr="00020699">
        <w:t>а) создание (строительство, реконструкция) объектов капитального строительства государственной собственности;</w:t>
      </w:r>
    </w:p>
    <w:p w:rsidR="00BF7CAD" w:rsidRPr="00020699" w:rsidRDefault="00BF7CAD">
      <w:pPr>
        <w:pStyle w:val="ConsPlusNormal"/>
        <w:ind w:firstLine="540"/>
        <w:jc w:val="both"/>
      </w:pPr>
      <w:bookmarkStart w:id="7" w:name="Par60"/>
      <w:bookmarkEnd w:id="7"/>
      <w:r w:rsidRPr="00020699">
        <w:t>б) создание (строительство, реконструкция) объектов капитального строительства муниципальной собственности;</w:t>
      </w:r>
    </w:p>
    <w:p w:rsidR="00BF7CAD" w:rsidRPr="00020699" w:rsidRDefault="00BF7CAD">
      <w:pPr>
        <w:pStyle w:val="ConsPlusNormal"/>
        <w:ind w:firstLine="540"/>
        <w:jc w:val="both"/>
      </w:pPr>
      <w:bookmarkStart w:id="8" w:name="Par61"/>
      <w:bookmarkEnd w:id="8"/>
      <w:r w:rsidRPr="00020699">
        <w:t>в) разработка проектной документации на объекты капитального строительства государственной собственности;</w:t>
      </w:r>
    </w:p>
    <w:p w:rsidR="00BF7CAD" w:rsidRPr="00020699" w:rsidRDefault="00BF7CAD">
      <w:pPr>
        <w:pStyle w:val="ConsPlusNormal"/>
        <w:ind w:firstLine="540"/>
        <w:jc w:val="both"/>
      </w:pPr>
      <w:bookmarkStart w:id="9" w:name="Par62"/>
      <w:bookmarkEnd w:id="9"/>
      <w:r w:rsidRPr="00020699">
        <w:t>г) разработка проектной документации на объекты капитального строительства муниципальной собственности;</w:t>
      </w:r>
    </w:p>
    <w:p w:rsidR="00BF7CAD" w:rsidRPr="00020699" w:rsidRDefault="00BF7CAD">
      <w:pPr>
        <w:pStyle w:val="ConsPlusNormal"/>
        <w:ind w:firstLine="540"/>
        <w:jc w:val="both"/>
      </w:pPr>
      <w:bookmarkStart w:id="10" w:name="Par63"/>
      <w:bookmarkEnd w:id="10"/>
      <w:r w:rsidRPr="00020699">
        <w:t>д) создание (строительство, реконструкция) объектов капитального строительства государственной собственности в соответствии с концессионными соглашениями;</w:t>
      </w:r>
    </w:p>
    <w:p w:rsidR="00BF7CAD" w:rsidRPr="00020699" w:rsidRDefault="00BF7CAD">
      <w:pPr>
        <w:pStyle w:val="ConsPlusNormal"/>
        <w:ind w:firstLine="540"/>
        <w:jc w:val="both"/>
      </w:pPr>
      <w:bookmarkStart w:id="11" w:name="Par64"/>
      <w:bookmarkEnd w:id="11"/>
      <w:r w:rsidRPr="00020699">
        <w:t>е) создание (строительство, реконструкция) объектов капитального строительства муниципальной собственности в соответствии с концессионными соглашениями;</w:t>
      </w:r>
    </w:p>
    <w:p w:rsidR="00BF7CAD" w:rsidRPr="00020699" w:rsidRDefault="00BF7CAD">
      <w:pPr>
        <w:pStyle w:val="ConsPlusNormal"/>
        <w:ind w:firstLine="540"/>
        <w:jc w:val="both"/>
      </w:pPr>
      <w:bookmarkStart w:id="12" w:name="Par65"/>
      <w:bookmarkEnd w:id="12"/>
      <w:r w:rsidRPr="00020699">
        <w:t>ж) разработка проектной документации на объекты капитального строительства государственной собственности в соответствии с концессионными соглашениями и создание указанных объектов;</w:t>
      </w:r>
    </w:p>
    <w:p w:rsidR="00BF7CAD" w:rsidRPr="00020699" w:rsidRDefault="00BF7CAD">
      <w:pPr>
        <w:pStyle w:val="ConsPlusNormal"/>
        <w:ind w:firstLine="540"/>
        <w:jc w:val="both"/>
      </w:pPr>
      <w:bookmarkStart w:id="13" w:name="Par66"/>
      <w:bookmarkEnd w:id="13"/>
      <w:r w:rsidRPr="00020699">
        <w:t>з) разработка проектной документации на объекты капитального строительства муниципальной собственности в соответствии с концессионными соглашениями и создание указанных объектов.</w:t>
      </w:r>
    </w:p>
    <w:p w:rsidR="00BF7CAD" w:rsidRPr="00020699" w:rsidRDefault="00BF7CAD">
      <w:pPr>
        <w:pStyle w:val="ConsPlusNormal"/>
        <w:ind w:firstLine="540"/>
        <w:jc w:val="both"/>
      </w:pPr>
      <w:bookmarkStart w:id="14" w:name="Par67"/>
      <w:bookmarkEnd w:id="14"/>
      <w:r w:rsidRPr="00020699">
        <w:t>2.2. К отбору допускается инвестиционный проект, соответствующий следующим требованиям:</w:t>
      </w:r>
    </w:p>
    <w:p w:rsidR="00BF7CAD" w:rsidRPr="00020699" w:rsidRDefault="00BF7CAD">
      <w:pPr>
        <w:pStyle w:val="ConsPlusNormal"/>
        <w:ind w:firstLine="540"/>
        <w:jc w:val="both"/>
      </w:pPr>
      <w:r w:rsidRPr="00020699">
        <w:t xml:space="preserve">а) участие в реализации инвестиционного проекта инвестора, соответствующего требованиям, установленным </w:t>
      </w:r>
      <w:hyperlink w:anchor="Par74" w:tooltip="Ссылка на текущий документ" w:history="1">
        <w:r w:rsidRPr="00020699">
          <w:t>пунктом 2.3</w:t>
        </w:r>
      </w:hyperlink>
      <w:r w:rsidRPr="00020699">
        <w:t xml:space="preserve"> настоящего Порядка, должно составлять не менее 50 процентов стоимости инвестиционного проекта, определяемой в соответствии с </w:t>
      </w:r>
      <w:hyperlink w:anchor="Par78" w:tooltip="Ссылка на текущий документ" w:history="1">
        <w:r w:rsidRPr="00020699">
          <w:t>пунктом 2.4</w:t>
        </w:r>
      </w:hyperlink>
      <w:r w:rsidRPr="00020699">
        <w:t xml:space="preserve"> настоящего Порядка;</w:t>
      </w:r>
    </w:p>
    <w:p w:rsidR="00BF7CAD" w:rsidRPr="00020699" w:rsidRDefault="00BF7CAD">
      <w:pPr>
        <w:pStyle w:val="ConsPlusNormal"/>
        <w:ind w:firstLine="540"/>
        <w:jc w:val="both"/>
      </w:pPr>
      <w:r w:rsidRPr="00020699">
        <w:t>б) срок реализации инвестиционного проекта, который включает в себя финансирование и создание (строительство, реконструкция) объектов капитального строительства, а также разработку проектной документации в случае, если инвестиционным проектом предусмотрена разработка проектной документации на объекты капитального строительства, и создание указанных объектов, не превышает 5 лет;</w:t>
      </w:r>
    </w:p>
    <w:p w:rsidR="00BF7CAD" w:rsidRPr="00020699" w:rsidRDefault="00BF7CAD">
      <w:pPr>
        <w:pStyle w:val="ConsPlusNormal"/>
        <w:ind w:firstLine="540"/>
        <w:jc w:val="both"/>
      </w:pPr>
      <w:r w:rsidRPr="00020699">
        <w:t xml:space="preserve">в) стоимость инвестиционного проекта составляет не менее 200 млн. рублей, остальные критерии </w:t>
      </w:r>
      <w:r w:rsidRPr="00020699">
        <w:lastRenderedPageBreak/>
        <w:t xml:space="preserve">инвестиционного проекта соответствуют критериям финансовой, бюджетной и экономической эффективности, установленным </w:t>
      </w:r>
      <w:hyperlink r:id="rId15" w:tooltip="Приказ Минрегиона РФ от 30.10.2009 N 493 &quot;Об утверждении Методики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оссийской Федерации&quot; (Зарегистрировано в Минюсте РФ 22.12.2009 N 15802){КонсультантПлюс}" w:history="1">
        <w:r w:rsidRPr="00020699">
          <w:t>методикой</w:t>
        </w:r>
      </w:hyperlink>
      <w:r w:rsidRPr="00020699">
        <w:t xml:space="preserve">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Российской Федерации, утвержденной Приказом Министерства регионального развития Российской Федерации от 30 октября 2009 года N 493 (далее - Методика);</w:t>
      </w:r>
    </w:p>
    <w:p w:rsidR="00BF7CAD" w:rsidRPr="00020699" w:rsidRDefault="00BF7CAD">
      <w:pPr>
        <w:pStyle w:val="ConsPlusNormal"/>
        <w:jc w:val="both"/>
      </w:pPr>
      <w:r w:rsidRPr="00020699">
        <w:t xml:space="preserve">(пп. "в" в ред. </w:t>
      </w:r>
      <w:hyperlink r:id="rId16" w:tooltip="Постановление Правительства ХМАО - Югры от 29.05.2014 N 199-п &quot;О внесении изменений в некоторые постановления Правительства Ханты-Мансийского автономного округа - Югры&quot;{КонсультантПлюс}" w:history="1">
        <w:r w:rsidRPr="00020699">
          <w:t>постановления</w:t>
        </w:r>
      </w:hyperlink>
      <w:r w:rsidRPr="00020699">
        <w:t xml:space="preserve"> Правительства ХМАО - Югры от 29.05.2014 N 199-п)</w:t>
      </w:r>
    </w:p>
    <w:p w:rsidR="00BF7CAD" w:rsidRPr="00020699" w:rsidRDefault="00BF7CAD">
      <w:pPr>
        <w:pStyle w:val="ConsPlusNormal"/>
        <w:ind w:firstLine="540"/>
        <w:jc w:val="both"/>
      </w:pPr>
      <w:bookmarkStart w:id="15" w:name="Par72"/>
      <w:bookmarkEnd w:id="15"/>
      <w:r w:rsidRPr="00020699">
        <w:t xml:space="preserve">г) инвестиционным проектом предусматривается производство продукции, за исключением продукции, отнесенной к классам продукции </w:t>
      </w:r>
      <w:hyperlink r:id="rId17" w:tooltip="&quot;ОК 005-93. Общероссийский классификатор продукции&quot; (утв. Постановлением Госстандарта России от 30.12.1993 N 301) (ред. от 09.07.2014) (дата введения 01.07.1994) (коды 01 0000 - 51 7800){КонсультантПлюс}" w:history="1">
        <w:r w:rsidRPr="00020699">
          <w:t>01</w:t>
        </w:r>
      </w:hyperlink>
      <w:r w:rsidRPr="00020699">
        <w:t xml:space="preserve">, </w:t>
      </w:r>
      <w:hyperlink r:id="rId18" w:tooltip="&quot;ОК 005-93. Общероссийский классификатор продукции&quot; (утв. Постановлением Госстандарта России от 30.12.1993 N 301) (ред. от 09.07.2014) (дата введения 01.07.1994) (коды 01 0000 - 51 7800){КонсультантПлюс}" w:history="1">
        <w:r w:rsidRPr="00020699">
          <w:t>02</w:t>
        </w:r>
      </w:hyperlink>
      <w:r w:rsidRPr="00020699">
        <w:t xml:space="preserve"> в соответствии с Общероссийским классификатором продукции ОК 005-93, утвержденным Постановлением Госстандарта России от 30 декабря 1993 года N 301, и в общем доходе от реализации инвестиционного проекта доля дохода от реализации указанной продукции составляет не менее 70 процентов.</w:t>
      </w:r>
    </w:p>
    <w:p w:rsidR="00BF7CAD" w:rsidRPr="00020699" w:rsidRDefault="00BF7CAD">
      <w:pPr>
        <w:pStyle w:val="ConsPlusNormal"/>
        <w:ind w:firstLine="540"/>
        <w:jc w:val="both"/>
      </w:pPr>
      <w:r w:rsidRPr="00020699">
        <w:t xml:space="preserve">Требования </w:t>
      </w:r>
      <w:hyperlink w:anchor="Par72" w:tooltip="Ссылка на текущий документ" w:history="1">
        <w:r w:rsidRPr="00020699">
          <w:t>подпункта "г"</w:t>
        </w:r>
      </w:hyperlink>
      <w:r w:rsidRPr="00020699">
        <w:t xml:space="preserve"> настоящего пункта не применяются к инвестиционному проекту, предусматривающему реализацию мероприятий в соответствии с концессионным соглашением.</w:t>
      </w:r>
    </w:p>
    <w:p w:rsidR="00BF7CAD" w:rsidRPr="00020699" w:rsidRDefault="00BF7CAD">
      <w:pPr>
        <w:pStyle w:val="ConsPlusNormal"/>
        <w:ind w:firstLine="540"/>
        <w:jc w:val="both"/>
      </w:pPr>
      <w:bookmarkStart w:id="16" w:name="Par74"/>
      <w:bookmarkEnd w:id="16"/>
      <w:r w:rsidRPr="00020699">
        <w:t xml:space="preserve">2.3. Инвестором, принимающим участие в реализации инвестиционного проекта, предусматривающего осуществление мероприятий, указанных в </w:t>
      </w:r>
      <w:hyperlink w:anchor="Par58" w:tooltip="Ссылка на текущий документ" w:history="1">
        <w:r w:rsidRPr="00020699">
          <w:t>пункте 2.1</w:t>
        </w:r>
      </w:hyperlink>
      <w:r w:rsidRPr="00020699">
        <w:t xml:space="preserve"> настоящего Порядка, может выступать юридическое лицо:</w:t>
      </w:r>
    </w:p>
    <w:p w:rsidR="00BF7CAD" w:rsidRPr="00020699" w:rsidRDefault="00BF7CAD">
      <w:pPr>
        <w:pStyle w:val="ConsPlusNormal"/>
        <w:ind w:firstLine="540"/>
        <w:jc w:val="both"/>
      </w:pPr>
      <w:r w:rsidRPr="00020699">
        <w:t xml:space="preserve">а) соответствующее требованиям, установленным </w:t>
      </w:r>
      <w:hyperlink r:id="rId19" w:tooltip="Закон ХМАО - Югры от 31.03.2012 N 33-оз (ред. от 05.04.2013) &quot;О государственной поддержке инвестиционной деятельности в Ханты-Мансийском автономном округе - Югре&quot; (принят Думой Ханты-Мансийского автономного округа - Югры 30.03.2012){КонсультантПлюс}" w:history="1">
        <w:r w:rsidRPr="00020699">
          <w:t>статьей 7</w:t>
        </w:r>
      </w:hyperlink>
      <w:r w:rsidRPr="00020699">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BF7CAD" w:rsidRPr="00020699" w:rsidRDefault="00BF7CAD">
      <w:pPr>
        <w:pStyle w:val="ConsPlusNormal"/>
        <w:ind w:firstLine="540"/>
        <w:jc w:val="both"/>
      </w:pPr>
      <w:r w:rsidRPr="00020699">
        <w:t>б) не являющееся государственным или муниципальным унитарным предприятием, а также хозяйственным товариществом и (или) обществом, доля участия Российской Федерации, Ханты-Мансийского автономного округа - Югры либо муниципального образования Ханты-Мансийского автономного округа - Югры в уставном (складочном) капитале которого превышает 25 процентов, или их дочерним обществом.</w:t>
      </w:r>
    </w:p>
    <w:p w:rsidR="00BF7CAD" w:rsidRPr="00020699" w:rsidRDefault="00BF7CAD">
      <w:pPr>
        <w:pStyle w:val="ConsPlusNormal"/>
        <w:ind w:firstLine="540"/>
        <w:jc w:val="both"/>
      </w:pPr>
      <w:r w:rsidRPr="00020699">
        <w:t>Требования настоящего пункта не применяются к концессионеру.</w:t>
      </w:r>
    </w:p>
    <w:p w:rsidR="00BF7CAD" w:rsidRPr="00020699" w:rsidRDefault="00BF7CAD">
      <w:pPr>
        <w:pStyle w:val="ConsPlusNormal"/>
        <w:ind w:firstLine="540"/>
        <w:jc w:val="both"/>
      </w:pPr>
      <w:bookmarkStart w:id="17" w:name="Par78"/>
      <w:bookmarkEnd w:id="17"/>
      <w:r w:rsidRPr="00020699">
        <w:t xml:space="preserve">2.4. Стоимостные показатели инвестиционного проекта, предусматривающего осуществление мероприятий, указанных в </w:t>
      </w:r>
      <w:hyperlink w:anchor="Par58" w:tooltip="Ссылка на текущий документ" w:history="1">
        <w:r w:rsidRPr="00020699">
          <w:t>пункте 2.1</w:t>
        </w:r>
      </w:hyperlink>
      <w:r w:rsidRPr="00020699">
        <w:t xml:space="preserve"> настоящего Порядка, рассчитываются и указываются в ценах, сложившихся по состоянию на первый квартал года подачи заявления на участие в отборе, и в ценах соответствующих лет, с учетом налога на добавленную стоимость.</w:t>
      </w:r>
    </w:p>
    <w:p w:rsidR="00BF7CAD" w:rsidRPr="00020699" w:rsidRDefault="00BF7CAD">
      <w:pPr>
        <w:pStyle w:val="ConsPlusNormal"/>
        <w:ind w:firstLine="540"/>
        <w:jc w:val="both"/>
      </w:pPr>
      <w:r w:rsidRPr="00020699">
        <w:t xml:space="preserve">В случае, если настоящим Порядком установлено требование о представлении сводного сметного расчета строительства объектов капитального строительства, такой расчет составляется с учетом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государственной (муниципальной) собственности автономного округа и (или) заключения о достоверности сметной стоимости объектов капитального строительства, полученного в соответствии с </w:t>
      </w:r>
      <w:hyperlink r:id="rId20" w:tooltip="Постановление Правительства ХМАО - Югры от 14.04.2011 N 124-п (ред. от 20.12.2013) &quot;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quot; (вместе с &quot;Порядком оформления заключения о проверке достоверности определения сметной стоимости объектов, строительство которых финансируется с привлечением средств бюджета автономного округа&quot;, &quot;Порядком ведения реестр{КонсультантПлюс}" w:history="1">
        <w:r w:rsidRPr="00020699">
          <w:t>постановлением</w:t>
        </w:r>
      </w:hyperlink>
      <w:r w:rsidRPr="00020699">
        <w:t xml:space="preserve"> Правительства Ханты-Мансийского автономного округа - Югры от 14 апреля 2011 года N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 (далее - заключение о достоверности), а также в ценах на первый квартал года подачи заявления на участие в отборе.</w:t>
      </w:r>
    </w:p>
    <w:p w:rsidR="00BF7CAD" w:rsidRPr="00020699" w:rsidRDefault="00BF7CAD">
      <w:pPr>
        <w:pStyle w:val="ConsPlusNormal"/>
        <w:ind w:firstLine="540"/>
        <w:jc w:val="both"/>
      </w:pPr>
      <w:r w:rsidRPr="00020699">
        <w:t>Стоимость инвестиционного проекта складывается из суммы сметных стоимостей создания (строительства, реконструкции) объектов капитального строительства, за исключением расходов на проведение экспертизы проектной документации и услуг инвестиционного консультанта.</w:t>
      </w:r>
    </w:p>
    <w:p w:rsidR="00BF7CAD" w:rsidRPr="00020699" w:rsidRDefault="00BF7CAD">
      <w:pPr>
        <w:pStyle w:val="ConsPlusNormal"/>
        <w:ind w:firstLine="540"/>
        <w:jc w:val="both"/>
      </w:pPr>
      <w:r w:rsidRPr="00020699">
        <w:t xml:space="preserve">2.5. В целях реализации инвестиционных проектов, предусматривающих осуществление мероприятий, указанных в </w:t>
      </w:r>
      <w:hyperlink w:anchor="Par63" w:tooltip="Ссылка на текущий документ" w:history="1">
        <w:r w:rsidRPr="00020699">
          <w:t>подпунктах "д"</w:t>
        </w:r>
      </w:hyperlink>
      <w:r w:rsidRPr="00020699">
        <w:t xml:space="preserve">, </w:t>
      </w:r>
      <w:hyperlink w:anchor="Par65" w:tooltip="Ссылка на текущий документ" w:history="1">
        <w:r w:rsidRPr="00020699">
          <w:t>"ж" пункта 2.1</w:t>
        </w:r>
      </w:hyperlink>
      <w:r w:rsidRPr="00020699">
        <w:t xml:space="preserve">, и соответствующих требованиям, указанным в </w:t>
      </w:r>
      <w:hyperlink w:anchor="Par67" w:tooltip="Ссылка на текущий документ" w:history="1">
        <w:r w:rsidRPr="00020699">
          <w:t>пункте 2.2</w:t>
        </w:r>
      </w:hyperlink>
      <w:r w:rsidRPr="00020699">
        <w:t xml:space="preserve"> настоящего Порядка, бюджетные ассигнования инвестиционного фонда могут быть предоставлены в соответствии с концессионными соглашениями, заключаемыми путем проведения конкурса на право заключения концессионного соглашения в порядке, установленном Федеральным </w:t>
      </w:r>
      <w:hyperlink r:id="rId21" w:tooltip="Федеральный закон от 21.07.2005 N 115-ФЗ (ред. от 28.06.2014) &quot;О концессионных соглашениях&quot;{КонсультантПлюс}" w:history="1">
        <w:r w:rsidRPr="00020699">
          <w:t>законом</w:t>
        </w:r>
      </w:hyperlink>
      <w:r w:rsidRPr="00020699">
        <w:t xml:space="preserve"> от 21 июля 2005 года N 115-ФЗ "О концессионных соглашениях".</w:t>
      </w:r>
    </w:p>
    <w:p w:rsidR="00BF7CAD" w:rsidRPr="00020699" w:rsidRDefault="00BF7CAD">
      <w:pPr>
        <w:pStyle w:val="ConsPlusNormal"/>
        <w:ind w:firstLine="540"/>
        <w:jc w:val="both"/>
      </w:pPr>
      <w:bookmarkStart w:id="18" w:name="Par82"/>
      <w:bookmarkEnd w:id="18"/>
      <w:r w:rsidRPr="00020699">
        <w:t xml:space="preserve">2.6. Для участия в отборе инвестор, принимающий участие в реализации инвестиционного проекта, предусматривающего осуществление мероприятий, указанных в </w:t>
      </w:r>
      <w:hyperlink w:anchor="Par58" w:tooltip="Ссылка на текущий документ" w:history="1">
        <w:r w:rsidRPr="00020699">
          <w:t>пункте 2.1</w:t>
        </w:r>
      </w:hyperlink>
      <w:r w:rsidRPr="00020699">
        <w:t xml:space="preserve"> настоящего Порядка, представляет в Департамент экономического развития Ханты-Мансийского автономного округа - Югры (далее - Депэкономики Югры) заявление на участие в отборе по форме, утверждаемой Депэкономики Югры.</w:t>
      </w:r>
    </w:p>
    <w:p w:rsidR="00BF7CAD" w:rsidRPr="00020699" w:rsidRDefault="00BF7CAD">
      <w:pPr>
        <w:pStyle w:val="ConsPlusNormal"/>
        <w:ind w:firstLine="540"/>
        <w:jc w:val="both"/>
      </w:pPr>
      <w:bookmarkStart w:id="19" w:name="Par83"/>
      <w:bookmarkEnd w:id="19"/>
      <w:r w:rsidRPr="00020699">
        <w:t xml:space="preserve">2.7. К указанному в </w:t>
      </w:r>
      <w:hyperlink w:anchor="Par82" w:tooltip="Ссылка на текущий документ" w:history="1">
        <w:r w:rsidRPr="00020699">
          <w:t>пункте 2.6</w:t>
        </w:r>
      </w:hyperlink>
      <w:r w:rsidRPr="00020699">
        <w:t xml:space="preserve"> настоящего Порядка заявлению прилагаются:</w:t>
      </w:r>
    </w:p>
    <w:p w:rsidR="00BF7CAD" w:rsidRPr="00020699" w:rsidRDefault="00BF7CAD">
      <w:pPr>
        <w:pStyle w:val="ConsPlusNormal"/>
        <w:ind w:firstLine="540"/>
        <w:jc w:val="both"/>
      </w:pPr>
      <w:bookmarkStart w:id="20" w:name="Par84"/>
      <w:bookmarkEnd w:id="20"/>
      <w:r w:rsidRPr="00020699">
        <w:t>а) бизнес-план инвестиционного проекта, включающий в себя:</w:t>
      </w:r>
    </w:p>
    <w:p w:rsidR="00BF7CAD" w:rsidRPr="00020699" w:rsidRDefault="00BF7CAD">
      <w:pPr>
        <w:pStyle w:val="ConsPlusNormal"/>
        <w:ind w:firstLine="540"/>
        <w:jc w:val="both"/>
      </w:pPr>
      <w:r w:rsidRPr="00020699">
        <w:t>обоснование запрашиваемых объемов бюджетных ассигнований инвестиционного фонда;</w:t>
      </w:r>
    </w:p>
    <w:p w:rsidR="00BF7CAD" w:rsidRPr="00020699" w:rsidRDefault="00BF7CAD">
      <w:pPr>
        <w:pStyle w:val="ConsPlusNormal"/>
        <w:ind w:firstLine="540"/>
        <w:jc w:val="both"/>
      </w:pPr>
      <w:r w:rsidRPr="00020699">
        <w:t xml:space="preserve">расчеты показателей финансовой, бюджетной и экономической эффективности инвестиционного проекта в соответствии с </w:t>
      </w:r>
      <w:hyperlink r:id="rId22" w:tooltip="Приказ Минрегиона РФ от 30.10.2009 N 493 &quot;Об утверждении Методики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оссийской Федерации&quot; (Зарегистрировано в Минюсте РФ 22.12.2009 N 15802){КонсультантПлюс}" w:history="1">
        <w:r w:rsidRPr="00020699">
          <w:t>Методикой</w:t>
        </w:r>
      </w:hyperlink>
      <w:r w:rsidRPr="00020699">
        <w:t>;</w:t>
      </w:r>
    </w:p>
    <w:p w:rsidR="00BF7CAD" w:rsidRPr="00020699" w:rsidRDefault="00BF7CAD">
      <w:pPr>
        <w:pStyle w:val="ConsPlusNormal"/>
        <w:ind w:firstLine="540"/>
        <w:jc w:val="both"/>
      </w:pPr>
      <w:r w:rsidRPr="00020699">
        <w:lastRenderedPageBreak/>
        <w:t>маркетинговый анализ проекта, оценку целевого сегмента рынка, долю рынка и подтверждающий объемы и цены на реализуемые товары (услуги);</w:t>
      </w:r>
    </w:p>
    <w:p w:rsidR="00BF7CAD" w:rsidRPr="00020699" w:rsidRDefault="00BF7CAD">
      <w:pPr>
        <w:pStyle w:val="ConsPlusNormal"/>
        <w:ind w:firstLine="540"/>
        <w:jc w:val="both"/>
      </w:pPr>
      <w:r w:rsidRPr="00020699">
        <w:t>обоснование положительных социальных эффектов, связанных с реализацией инвестиционного проекта;</w:t>
      </w:r>
    </w:p>
    <w:p w:rsidR="00BF7CAD" w:rsidRPr="00020699" w:rsidRDefault="00BF7CAD">
      <w:pPr>
        <w:pStyle w:val="ConsPlusNormal"/>
        <w:ind w:firstLine="540"/>
        <w:jc w:val="both"/>
      </w:pPr>
      <w:bookmarkStart w:id="21" w:name="Par89"/>
      <w:bookmarkEnd w:id="21"/>
      <w:r w:rsidRPr="00020699">
        <w:t xml:space="preserve">б) финансовая модель инвестиционного проекта, соответствующая требованиям, установленным </w:t>
      </w:r>
      <w:hyperlink r:id="rId23" w:tooltip="Приказ Минрегиона РФ от 30.10.2009 N 493 &quot;Об утверждении Методики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оссийской Федерации&quot; (Зарегистрировано в Минюсте РФ 22.12.2009 N 15802){КонсультантПлюс}" w:history="1">
        <w:r w:rsidRPr="00020699">
          <w:t>Методикой</w:t>
        </w:r>
      </w:hyperlink>
      <w:r w:rsidRPr="00020699">
        <w:t xml:space="preserve"> (на электронном носителе);</w:t>
      </w:r>
    </w:p>
    <w:p w:rsidR="00BF7CAD" w:rsidRPr="00020699" w:rsidRDefault="00BF7CAD">
      <w:pPr>
        <w:pStyle w:val="ConsPlusNormal"/>
        <w:ind w:firstLine="540"/>
        <w:jc w:val="both"/>
      </w:pPr>
      <w:r w:rsidRPr="00020699">
        <w:t>в) копия принятого в установленном законодательством Российской Федерации порядке решения уполномоченного органа управления инвестора об участии в инвестиционном проекте с указанием объема инвестиций, направляемых для реализации инвестиционного проекта, перечня создаваемых объектов капитального строительства частной собственности инвестора и сроках их создания;</w:t>
      </w:r>
    </w:p>
    <w:p w:rsidR="00BF7CAD" w:rsidRPr="00020699" w:rsidRDefault="00BF7CAD">
      <w:pPr>
        <w:pStyle w:val="ConsPlusNormal"/>
        <w:ind w:firstLine="540"/>
        <w:jc w:val="both"/>
      </w:pPr>
      <w:r w:rsidRPr="00020699">
        <w:t>г) копия учредительных документов инвестора;</w:t>
      </w:r>
    </w:p>
    <w:p w:rsidR="00BF7CAD" w:rsidRPr="00020699" w:rsidRDefault="00BF7CAD">
      <w:pPr>
        <w:pStyle w:val="ConsPlusNormal"/>
        <w:ind w:firstLine="540"/>
        <w:jc w:val="both"/>
      </w:pPr>
      <w:r w:rsidRPr="00020699">
        <w:t>д) документы, подтверждающие наличие собственных средств инвестора и (или) готовность сторонних соинвесторов и (или) кредитных организаций предоставить финансирование для покрытия той доли стоимости инвестиционного проекта, которая не обеспечена за счет средств инвестиционного фонда;</w:t>
      </w:r>
    </w:p>
    <w:p w:rsidR="00BF7CAD" w:rsidRPr="00020699" w:rsidRDefault="00BF7CAD">
      <w:pPr>
        <w:pStyle w:val="ConsPlusNormal"/>
        <w:ind w:firstLine="540"/>
        <w:jc w:val="both"/>
      </w:pPr>
      <w:bookmarkStart w:id="22" w:name="Par93"/>
      <w:bookmarkEnd w:id="22"/>
      <w:r w:rsidRPr="00020699">
        <w:t>е) декларация инвестиционного консультанта о включении в Реестр специализированных компаний, соответствующих требованиям Государственной корпорации "Банк развития и внешнеэкономической деятельности (Внешэкономбанк)", привлечение которых от имени и за счет участников инвестиционных проектов может быть рекомендовано Внешэкономбанком с приложением копии действующего соглашения, заключенного с Внешэкономбанком;</w:t>
      </w:r>
    </w:p>
    <w:p w:rsidR="00BF7CAD" w:rsidRPr="00020699" w:rsidRDefault="00BF7CAD">
      <w:pPr>
        <w:pStyle w:val="ConsPlusNormal"/>
        <w:ind w:firstLine="540"/>
        <w:jc w:val="both"/>
      </w:pPr>
      <w:bookmarkStart w:id="23" w:name="Par94"/>
      <w:bookmarkEnd w:id="23"/>
      <w:r w:rsidRPr="00020699">
        <w:t>ж) заключение инвестиционного консультанта о соответствии инвестиционного проекта требованиям настоящего Порядка, включая соответствие критериям финансовой, бюджетной и экономической эффективности;</w:t>
      </w:r>
    </w:p>
    <w:p w:rsidR="00BF7CAD" w:rsidRPr="00020699" w:rsidRDefault="00BF7CAD">
      <w:pPr>
        <w:pStyle w:val="ConsPlusNormal"/>
        <w:ind w:firstLine="540"/>
        <w:jc w:val="both"/>
      </w:pPr>
      <w:bookmarkStart w:id="24" w:name="Par95"/>
      <w:bookmarkEnd w:id="24"/>
      <w:r w:rsidRPr="00020699">
        <w:t>з) копии годовых отчетов за последние 2 финансовых года или за весь период деятельности инвестора (в случае если инвестор создан менее 2 финансовых лет назад), включающих бухгалтерскую (финансовую) отчетность (с отметкой налогового органа о ее принятии);</w:t>
      </w:r>
    </w:p>
    <w:p w:rsidR="00BF7CAD" w:rsidRPr="00020699" w:rsidRDefault="00BF7CAD">
      <w:pPr>
        <w:pStyle w:val="ConsPlusNormal"/>
        <w:ind w:firstLine="540"/>
        <w:jc w:val="both"/>
      </w:pPr>
      <w:bookmarkStart w:id="25" w:name="Par96"/>
      <w:bookmarkEnd w:id="25"/>
      <w:r w:rsidRPr="00020699">
        <w:t>и) представляемые инвестором по собственной инициативе справки (оригинал и копия) о состоянии расчетов инвестора по налогам, сборам и иным обязательным платежам в бюджетную систему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выданные не ранее чем за один месяц до дня подачи заявления.</w:t>
      </w:r>
    </w:p>
    <w:p w:rsidR="00BF7CAD" w:rsidRPr="00020699" w:rsidRDefault="00BF7CAD">
      <w:pPr>
        <w:pStyle w:val="ConsPlusNormal"/>
        <w:ind w:firstLine="540"/>
        <w:jc w:val="both"/>
      </w:pPr>
      <w:bookmarkStart w:id="26" w:name="Par97"/>
      <w:bookmarkEnd w:id="26"/>
      <w:r w:rsidRPr="00020699">
        <w:t xml:space="preserve">2.8. Для участия в отборе инвестор, принимающий участие в реализации инвестиционного проекта, предусматривающего осуществление мероприятий, указанных в </w:t>
      </w:r>
      <w:hyperlink w:anchor="Par59" w:tooltip="Ссылка на текущий документ" w:history="1">
        <w:r w:rsidRPr="00020699">
          <w:t>подпункте "а" пункта 2.1</w:t>
        </w:r>
      </w:hyperlink>
      <w:r w:rsidRPr="00020699">
        <w:t xml:space="preserve"> настоящего Порядка, помимо документов, указанных в </w:t>
      </w:r>
      <w:hyperlink w:anchor="Par83" w:tooltip="Ссылка на текущий документ" w:history="1">
        <w:r w:rsidRPr="00020699">
          <w:t>пункте 2.7</w:t>
        </w:r>
      </w:hyperlink>
      <w:r w:rsidRPr="00020699">
        <w:t xml:space="preserve"> настоящего Порядка, представляет в Депэкономики Югры:</w:t>
      </w:r>
    </w:p>
    <w:p w:rsidR="00BF7CAD" w:rsidRPr="00020699" w:rsidRDefault="00BF7CAD">
      <w:pPr>
        <w:pStyle w:val="ConsPlusNormal"/>
        <w:ind w:firstLine="540"/>
        <w:jc w:val="both"/>
      </w:pPr>
      <w:r w:rsidRPr="00020699">
        <w:t>а) копию полученного в порядке, установленном законодательством о градостроительной деятельности,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государственной собственности автономного округа, копию заключения о достоверности, выданного в отношении указанных объектов, а также сводный сметный расчет стоимости строительства каждого из объектов капитального строительства, составленный с учетом заключения о достоверности, и расчет в ценах, сложившихся по состоянию на первый квартал года подачи заявления;</w:t>
      </w:r>
    </w:p>
    <w:p w:rsidR="00BF7CAD" w:rsidRPr="00020699" w:rsidRDefault="00BF7CAD">
      <w:pPr>
        <w:pStyle w:val="ConsPlusNormal"/>
        <w:ind w:firstLine="540"/>
        <w:jc w:val="both"/>
      </w:pPr>
      <w:bookmarkStart w:id="27" w:name="Par99"/>
      <w:bookmarkEnd w:id="27"/>
      <w:r w:rsidRPr="00020699">
        <w:t>б) копию полученного в порядке, установленном законодательством о градостроительной деятельности, положительного заключения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частной собственности, с указанием сметной стоимости этого объекта капитального строительства, а также сводный сметный расчет стоимости строительства, составленный с учетом полученного положительного заключения экспертизы, и расчет в ценах, сложившихся по состоянию на первый квартал года подачи заявления.</w:t>
      </w:r>
    </w:p>
    <w:p w:rsidR="00BF7CAD" w:rsidRPr="00020699" w:rsidRDefault="00BF7CAD">
      <w:pPr>
        <w:pStyle w:val="ConsPlusNormal"/>
        <w:ind w:firstLine="540"/>
        <w:jc w:val="both"/>
      </w:pPr>
      <w:bookmarkStart w:id="28" w:name="Par100"/>
      <w:bookmarkEnd w:id="28"/>
      <w:r w:rsidRPr="00020699">
        <w:t xml:space="preserve">2.9. Для участия в отборе инвестор, принимающий участие в реализации инвестиционного проекта, предусматривающего осуществление мероприятий, указанных в </w:t>
      </w:r>
      <w:hyperlink w:anchor="Par60" w:tooltip="Ссылка на текущий документ" w:history="1">
        <w:r w:rsidRPr="00020699">
          <w:t>подпункте "б" пункта 2.1</w:t>
        </w:r>
      </w:hyperlink>
      <w:r w:rsidRPr="00020699">
        <w:t xml:space="preserve"> настоящего Порядка, помимо документов, указанных в </w:t>
      </w:r>
      <w:hyperlink w:anchor="Par83" w:tooltip="Ссылка на текущий документ" w:history="1">
        <w:r w:rsidRPr="00020699">
          <w:t>пункте 2.7</w:t>
        </w:r>
      </w:hyperlink>
      <w:r w:rsidRPr="00020699">
        <w:t xml:space="preserve"> настоящего Порядка, представляет в Депэкономики Югры:</w:t>
      </w:r>
    </w:p>
    <w:p w:rsidR="00BF7CAD" w:rsidRPr="00020699" w:rsidRDefault="00BF7CAD">
      <w:pPr>
        <w:pStyle w:val="ConsPlusNormal"/>
        <w:ind w:firstLine="540"/>
        <w:jc w:val="both"/>
      </w:pPr>
      <w:bookmarkStart w:id="29" w:name="Par101"/>
      <w:bookmarkEnd w:id="29"/>
      <w:r w:rsidRPr="00020699">
        <w:t>а) копию полученного в порядке, установленном законодательством о градостроительной деятельности,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муниципальной собственности, копию заключения о достоверности, выданного в отношении указанных объектов, а также сводный сметный расчет стоимости строительства каждого из объектов капитального строительства, составленный с учетом заключения о достоверности, и расчет в ценах, сложившихся по состоянию на первый квартал года подачи заявления;</w:t>
      </w:r>
    </w:p>
    <w:p w:rsidR="00BF7CAD" w:rsidRPr="00020699" w:rsidRDefault="00BF7CAD">
      <w:pPr>
        <w:pStyle w:val="ConsPlusNormal"/>
        <w:ind w:firstLine="540"/>
        <w:jc w:val="both"/>
      </w:pPr>
      <w:r w:rsidRPr="00020699">
        <w:t xml:space="preserve">б) документы, указанные в </w:t>
      </w:r>
      <w:hyperlink w:anchor="Par99" w:tooltip="Ссылка на текущий документ" w:history="1">
        <w:r w:rsidRPr="00020699">
          <w:t>подпункте "б" пункта 2.8</w:t>
        </w:r>
      </w:hyperlink>
      <w:r w:rsidRPr="00020699">
        <w:t xml:space="preserve"> настоящего Порядка;</w:t>
      </w:r>
    </w:p>
    <w:p w:rsidR="00BF7CAD" w:rsidRPr="00020699" w:rsidRDefault="00BF7CAD">
      <w:pPr>
        <w:pStyle w:val="ConsPlusNormal"/>
        <w:ind w:firstLine="540"/>
        <w:jc w:val="both"/>
      </w:pPr>
      <w:r w:rsidRPr="00020699">
        <w:lastRenderedPageBreak/>
        <w:t>в) декларацию соответствующего муниципального образования о согласии:</w:t>
      </w:r>
    </w:p>
    <w:p w:rsidR="00BF7CAD" w:rsidRPr="00020699" w:rsidRDefault="00BF7CAD">
      <w:pPr>
        <w:pStyle w:val="ConsPlusNormal"/>
        <w:ind w:firstLine="540"/>
        <w:jc w:val="both"/>
      </w:pPr>
      <w:r w:rsidRPr="00020699">
        <w:t>заключить инвестиционное соглашение о совместной реализации инвестиционного проекта;</w:t>
      </w:r>
    </w:p>
    <w:p w:rsidR="00BF7CAD" w:rsidRPr="00020699" w:rsidRDefault="00BF7CAD">
      <w:pPr>
        <w:pStyle w:val="ConsPlusNormal"/>
        <w:ind w:firstLine="540"/>
        <w:jc w:val="both"/>
      </w:pPr>
      <w:r w:rsidRPr="00020699">
        <w:t>обеспечить софинансирование создания (строительства, реконструкции) в ходе реализации инвестиционного проекта объектов капитального строительства муниципальной собственности (в размере не менее 10%).</w:t>
      </w:r>
    </w:p>
    <w:p w:rsidR="00BF7CAD" w:rsidRPr="00020699" w:rsidRDefault="00BF7CAD">
      <w:pPr>
        <w:pStyle w:val="ConsPlusNormal"/>
        <w:ind w:firstLine="540"/>
        <w:jc w:val="both"/>
      </w:pPr>
      <w:r w:rsidRPr="00020699">
        <w:t xml:space="preserve">2.10. Для участия в отборе инвестор, принимающий участие в реализации инвестиционного проекта, предусматривающего осуществление мероприятий, указанных в </w:t>
      </w:r>
      <w:hyperlink w:anchor="Par61" w:tooltip="Ссылка на текущий документ" w:history="1">
        <w:r w:rsidRPr="00020699">
          <w:t>подпункте "в" пункта 2.1</w:t>
        </w:r>
      </w:hyperlink>
      <w:r w:rsidRPr="00020699">
        <w:t xml:space="preserve"> настоящего Порядка, помимо документов, указанных в </w:t>
      </w:r>
      <w:hyperlink w:anchor="Par83" w:tooltip="Ссылка на текущий документ" w:history="1">
        <w:r w:rsidRPr="00020699">
          <w:t>пункте 2.7</w:t>
        </w:r>
      </w:hyperlink>
      <w:r w:rsidRPr="00020699">
        <w:t xml:space="preserve"> настоящего Порядка, представляет:</w:t>
      </w:r>
    </w:p>
    <w:p w:rsidR="00BF7CAD" w:rsidRPr="00020699" w:rsidRDefault="00BF7CAD">
      <w:pPr>
        <w:pStyle w:val="ConsPlusNormal"/>
        <w:ind w:firstLine="540"/>
        <w:jc w:val="both"/>
      </w:pPr>
      <w:r w:rsidRPr="00020699">
        <w:t xml:space="preserve">а) проект составленного в соответствии с </w:t>
      </w:r>
      <w:hyperlink r:id="rId24" w:tooltip="Постановление Правительства ХМАО - Югры от 24.08.2012 N 297-п (ред. от 24.10.2014) &quo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КонсультантПлюс}" w:history="1">
        <w:r w:rsidRPr="00020699">
          <w:t>постановлением</w:t>
        </w:r>
      </w:hyperlink>
      <w:r w:rsidRPr="00020699">
        <w:t xml:space="preserve"> Правительства Ханты-Мансийского автономного округа - Югры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строительство, реконструкция, капитальный ремонт и ремонт которых осуществляется с привлечением средств бюджета Ханты-Мансийского автономного округа - Югры" (далее - Порядок на проектирование) задания на разработку проектной документации на объекты капитального строительства государственной собственности, предполагаемые к созданию в ходе реализации инвестиционного проекта;</w:t>
      </w:r>
    </w:p>
    <w:p w:rsidR="00BF7CAD" w:rsidRPr="00020699" w:rsidRDefault="00BF7CAD">
      <w:pPr>
        <w:pStyle w:val="ConsPlusNormal"/>
        <w:ind w:firstLine="540"/>
        <w:jc w:val="both"/>
      </w:pPr>
      <w:r w:rsidRPr="00020699">
        <w:t xml:space="preserve">б) документы, указанные в </w:t>
      </w:r>
      <w:hyperlink w:anchor="Par99" w:tooltip="Ссылка на текущий документ" w:history="1">
        <w:r w:rsidRPr="00020699">
          <w:t>подпункте "б" пункта 2.8</w:t>
        </w:r>
      </w:hyperlink>
      <w:r w:rsidRPr="00020699">
        <w:t xml:space="preserve"> настоящего Порядка, и (или) копию утвержденного в установленном федеральным законодательством порядке технического задания на разработку проектной документации на все объекты капитального строительства частной собственности, предполагаемые к созданию в ходе реализации инвестиционного проекта.</w:t>
      </w:r>
    </w:p>
    <w:p w:rsidR="00BF7CAD" w:rsidRPr="00020699" w:rsidRDefault="00BF7CAD">
      <w:pPr>
        <w:pStyle w:val="ConsPlusNormal"/>
        <w:ind w:firstLine="540"/>
        <w:jc w:val="both"/>
      </w:pPr>
      <w:r w:rsidRPr="00020699">
        <w:t xml:space="preserve">2.11. Для участия в отборе инвестор, принимающий участие в реализации инвестиционного проекта, предусматривающего осуществление мероприятий, указанных в </w:t>
      </w:r>
      <w:hyperlink w:anchor="Par62" w:tooltip="Ссылка на текущий документ" w:history="1">
        <w:r w:rsidRPr="00020699">
          <w:t>подпункте "г" пункта 2.1</w:t>
        </w:r>
      </w:hyperlink>
      <w:r w:rsidRPr="00020699">
        <w:t xml:space="preserve"> настоящего Порядка, помимо документов, указанных в </w:t>
      </w:r>
      <w:hyperlink w:anchor="Par83" w:tooltip="Ссылка на текущий документ" w:history="1">
        <w:r w:rsidRPr="00020699">
          <w:t>пункте 2.7</w:t>
        </w:r>
      </w:hyperlink>
      <w:r w:rsidRPr="00020699">
        <w:t xml:space="preserve"> настоящего Порядка, представляет:</w:t>
      </w:r>
    </w:p>
    <w:p w:rsidR="00BF7CAD" w:rsidRPr="00020699" w:rsidRDefault="00BF7CAD">
      <w:pPr>
        <w:pStyle w:val="ConsPlusNormal"/>
        <w:ind w:firstLine="540"/>
        <w:jc w:val="both"/>
      </w:pPr>
      <w:r w:rsidRPr="00020699">
        <w:t>а) проект составленного в соответствии с Порядком на проектирование задания на разработку проектной документации на объекты капитального строительства муниципальной собственности, предполагаемые к созданию в ходе реализации инвестиционного проекта;</w:t>
      </w:r>
    </w:p>
    <w:p w:rsidR="00BF7CAD" w:rsidRPr="00020699" w:rsidRDefault="00BF7CAD">
      <w:pPr>
        <w:pStyle w:val="ConsPlusNormal"/>
        <w:ind w:firstLine="540"/>
        <w:jc w:val="both"/>
      </w:pPr>
      <w:r w:rsidRPr="00020699">
        <w:t xml:space="preserve">б) документы, указанные в </w:t>
      </w:r>
      <w:hyperlink w:anchor="Par99" w:tooltip="Ссылка на текущий документ" w:history="1">
        <w:r w:rsidRPr="00020699">
          <w:t>подпункте "б" пункта 2.8</w:t>
        </w:r>
      </w:hyperlink>
      <w:r w:rsidRPr="00020699">
        <w:t xml:space="preserve"> настоящего Порядка, и (или) копию утвержденного в установленном федеральным законодательством порядке технического задания на разработку проектной документации на все объекты капитального строительства частной собственности, предполагаемые к созданию в ходе реализации инвестиционного проекта;</w:t>
      </w:r>
    </w:p>
    <w:p w:rsidR="00BF7CAD" w:rsidRPr="00020699" w:rsidRDefault="00BF7CAD">
      <w:pPr>
        <w:pStyle w:val="ConsPlusNormal"/>
        <w:ind w:firstLine="540"/>
        <w:jc w:val="both"/>
      </w:pPr>
      <w:r w:rsidRPr="00020699">
        <w:t>в) декларацию соответствующего муниципального образования о согласии:</w:t>
      </w:r>
    </w:p>
    <w:p w:rsidR="00BF7CAD" w:rsidRPr="00020699" w:rsidRDefault="00BF7CAD">
      <w:pPr>
        <w:pStyle w:val="ConsPlusNormal"/>
        <w:ind w:firstLine="540"/>
        <w:jc w:val="both"/>
      </w:pPr>
      <w:r w:rsidRPr="00020699">
        <w:t>заключить инвестиционное соглашение о совместной реализации инвестиционного проекта;</w:t>
      </w:r>
    </w:p>
    <w:p w:rsidR="00BF7CAD" w:rsidRPr="00020699" w:rsidRDefault="00BF7CAD">
      <w:pPr>
        <w:pStyle w:val="ConsPlusNormal"/>
        <w:ind w:firstLine="540"/>
        <w:jc w:val="both"/>
      </w:pPr>
      <w:r w:rsidRPr="00020699">
        <w:t>обеспечить софинансирование разработки проектной документации на объекты капитального строительства муниципальной собственности в ходе реализации инвестиционного проекта (в размере не менее 10%).</w:t>
      </w:r>
    </w:p>
    <w:p w:rsidR="00BF7CAD" w:rsidRPr="00020699" w:rsidRDefault="00BF7CAD">
      <w:pPr>
        <w:pStyle w:val="ConsPlusNormal"/>
        <w:ind w:firstLine="540"/>
        <w:jc w:val="both"/>
      </w:pPr>
      <w:r w:rsidRPr="00020699">
        <w:t xml:space="preserve">2.12. Для участия в отборе муниципальное образование, принимающее участие в реализации инвестиционного проекта, предусматривающего осуществление мероприятий, указанных в </w:t>
      </w:r>
      <w:hyperlink w:anchor="Par64" w:tooltip="Ссылка на текущий документ" w:history="1">
        <w:r w:rsidRPr="00020699">
          <w:t>подпункте "е" пункта 2.1</w:t>
        </w:r>
      </w:hyperlink>
      <w:r w:rsidRPr="00020699">
        <w:t xml:space="preserve"> настоящего Порядка, представляет:</w:t>
      </w:r>
    </w:p>
    <w:p w:rsidR="00BF7CAD" w:rsidRPr="00020699" w:rsidRDefault="00BF7CAD">
      <w:pPr>
        <w:pStyle w:val="ConsPlusNormal"/>
        <w:ind w:firstLine="540"/>
        <w:jc w:val="both"/>
      </w:pPr>
      <w:r w:rsidRPr="00020699">
        <w:t>а) составленное по форме, утверждаемой Депэкономики Югры, заявление об участии в отборе, подписанное главой муниципального образования;</w:t>
      </w:r>
    </w:p>
    <w:p w:rsidR="00BF7CAD" w:rsidRPr="00020699" w:rsidRDefault="00BF7CAD">
      <w:pPr>
        <w:pStyle w:val="ConsPlusNormal"/>
        <w:ind w:firstLine="540"/>
        <w:jc w:val="both"/>
      </w:pPr>
      <w:r w:rsidRPr="00020699">
        <w:t>б) копию концессионного соглашения, устанавливающего обязательства концедента по финансированию части расходов на создание и (или) реконструкцию объекта концессионного соглашения;</w:t>
      </w:r>
    </w:p>
    <w:p w:rsidR="00BF7CAD" w:rsidRPr="00020699" w:rsidRDefault="00BF7CAD">
      <w:pPr>
        <w:pStyle w:val="ConsPlusNormal"/>
        <w:ind w:firstLine="540"/>
        <w:jc w:val="both"/>
      </w:pPr>
      <w:r w:rsidRPr="00020699">
        <w:t xml:space="preserve">в) документы, указанные в </w:t>
      </w:r>
      <w:hyperlink w:anchor="Par84" w:tooltip="Ссылка на текущий документ" w:history="1">
        <w:r w:rsidRPr="00020699">
          <w:t>подпунктах "а"</w:t>
        </w:r>
      </w:hyperlink>
      <w:r w:rsidRPr="00020699">
        <w:t xml:space="preserve">, </w:t>
      </w:r>
      <w:hyperlink w:anchor="Par89" w:tooltip="Ссылка на текущий документ" w:history="1">
        <w:r w:rsidRPr="00020699">
          <w:t>"б"</w:t>
        </w:r>
      </w:hyperlink>
      <w:r w:rsidRPr="00020699">
        <w:t xml:space="preserve">, </w:t>
      </w:r>
      <w:hyperlink w:anchor="Par93" w:tooltip="Ссылка на текущий документ" w:history="1">
        <w:r w:rsidRPr="00020699">
          <w:t>"е"</w:t>
        </w:r>
      </w:hyperlink>
      <w:r w:rsidRPr="00020699">
        <w:t xml:space="preserve">, </w:t>
      </w:r>
      <w:hyperlink w:anchor="Par94" w:tooltip="Ссылка на текущий документ" w:history="1">
        <w:r w:rsidRPr="00020699">
          <w:t>"ж"</w:t>
        </w:r>
      </w:hyperlink>
      <w:r w:rsidRPr="00020699">
        <w:t xml:space="preserve">, </w:t>
      </w:r>
      <w:hyperlink w:anchor="Par95" w:tooltip="Ссылка на текущий документ" w:history="1">
        <w:r w:rsidRPr="00020699">
          <w:t>"з" пункта 2.7</w:t>
        </w:r>
      </w:hyperlink>
      <w:r w:rsidRPr="00020699">
        <w:t xml:space="preserve">, </w:t>
      </w:r>
      <w:hyperlink w:anchor="Par101" w:tooltip="Ссылка на текущий документ" w:history="1">
        <w:r w:rsidRPr="00020699">
          <w:t>подпункте "а" пункта 2.9</w:t>
        </w:r>
      </w:hyperlink>
      <w:r w:rsidRPr="00020699">
        <w:t xml:space="preserve"> настоящего Порядка.</w:t>
      </w:r>
    </w:p>
    <w:p w:rsidR="00BF7CAD" w:rsidRPr="00020699" w:rsidRDefault="00BF7CAD">
      <w:pPr>
        <w:pStyle w:val="ConsPlusNormal"/>
        <w:ind w:firstLine="540"/>
        <w:jc w:val="both"/>
      </w:pPr>
      <w:bookmarkStart w:id="30" w:name="Par119"/>
      <w:bookmarkEnd w:id="30"/>
      <w:r w:rsidRPr="00020699">
        <w:t xml:space="preserve">2.13. Для участия в отборе муниципальное образование, принимающее участие в реализации инвестиционного проекта, предусматривающего осуществление мероприятий, указанных в </w:t>
      </w:r>
      <w:hyperlink w:anchor="Par66" w:tooltip="Ссылка на текущий документ" w:history="1">
        <w:r w:rsidRPr="00020699">
          <w:t>подпункте "з" пункта 2.1</w:t>
        </w:r>
      </w:hyperlink>
      <w:r w:rsidRPr="00020699">
        <w:t xml:space="preserve"> настоящего Порядка, представляет:</w:t>
      </w:r>
    </w:p>
    <w:p w:rsidR="00BF7CAD" w:rsidRPr="00020699" w:rsidRDefault="00BF7CAD">
      <w:pPr>
        <w:pStyle w:val="ConsPlusNormal"/>
        <w:ind w:firstLine="540"/>
        <w:jc w:val="both"/>
      </w:pPr>
      <w:r w:rsidRPr="00020699">
        <w:t>а) составленное по форме, утверждаемой Депэкономики Югры, заявление об участии в отборе, подписанное главой муниципального образования;</w:t>
      </w:r>
    </w:p>
    <w:p w:rsidR="00BF7CAD" w:rsidRPr="00020699" w:rsidRDefault="00BF7CAD">
      <w:pPr>
        <w:pStyle w:val="ConsPlusNormal"/>
        <w:ind w:firstLine="540"/>
        <w:jc w:val="both"/>
      </w:pPr>
      <w:r w:rsidRPr="00020699">
        <w:t>б) копию концессионного соглашения, устанавливающего обязательства концедента по финансированию части расходов на создание и (или) реконструкцию объекта концессионного соглашения;</w:t>
      </w:r>
    </w:p>
    <w:p w:rsidR="00BF7CAD" w:rsidRPr="00020699" w:rsidRDefault="00BF7CAD">
      <w:pPr>
        <w:pStyle w:val="ConsPlusNormal"/>
        <w:ind w:firstLine="540"/>
        <w:jc w:val="both"/>
      </w:pPr>
      <w:r w:rsidRPr="00020699">
        <w:t>в) копию заключенного в соответствии с федеральным законодательством контракта, предусматривающего разработку проектной документации на объекты капитального строительства муниципальной собственности в соответствии с концессионным соглашением;</w:t>
      </w:r>
    </w:p>
    <w:p w:rsidR="00BF7CAD" w:rsidRPr="00020699" w:rsidRDefault="00BF7CAD">
      <w:pPr>
        <w:pStyle w:val="ConsPlusNormal"/>
        <w:ind w:firstLine="540"/>
        <w:jc w:val="both"/>
      </w:pPr>
      <w:r w:rsidRPr="00020699">
        <w:t xml:space="preserve">г) документы, указанные в </w:t>
      </w:r>
      <w:hyperlink w:anchor="Par84" w:tooltip="Ссылка на текущий документ" w:history="1">
        <w:r w:rsidRPr="00020699">
          <w:t>подпунктах "а"</w:t>
        </w:r>
      </w:hyperlink>
      <w:r w:rsidRPr="00020699">
        <w:t xml:space="preserve">, </w:t>
      </w:r>
      <w:hyperlink w:anchor="Par89" w:tooltip="Ссылка на текущий документ" w:history="1">
        <w:r w:rsidRPr="00020699">
          <w:t>"б"</w:t>
        </w:r>
      </w:hyperlink>
      <w:r w:rsidRPr="00020699">
        <w:t xml:space="preserve">, </w:t>
      </w:r>
      <w:hyperlink w:anchor="Par93" w:tooltip="Ссылка на текущий документ" w:history="1">
        <w:r w:rsidRPr="00020699">
          <w:t>"е"</w:t>
        </w:r>
      </w:hyperlink>
      <w:r w:rsidRPr="00020699">
        <w:t xml:space="preserve">, </w:t>
      </w:r>
      <w:hyperlink w:anchor="Par94" w:tooltip="Ссылка на текущий документ" w:history="1">
        <w:r w:rsidRPr="00020699">
          <w:t>"ж"</w:t>
        </w:r>
      </w:hyperlink>
      <w:r w:rsidRPr="00020699">
        <w:t xml:space="preserve">, </w:t>
      </w:r>
      <w:hyperlink w:anchor="Par95" w:tooltip="Ссылка на текущий документ" w:history="1">
        <w:r w:rsidRPr="00020699">
          <w:t>"з" пункта 2.7</w:t>
        </w:r>
      </w:hyperlink>
      <w:r w:rsidRPr="00020699">
        <w:t xml:space="preserve">, </w:t>
      </w:r>
      <w:hyperlink w:anchor="Par101" w:tooltip="Ссылка на текущий документ" w:history="1">
        <w:r w:rsidRPr="00020699">
          <w:t>подпункте "а" пункта 2.9</w:t>
        </w:r>
      </w:hyperlink>
      <w:r w:rsidRPr="00020699">
        <w:t xml:space="preserve"> настоящего Порядка.</w:t>
      </w:r>
    </w:p>
    <w:p w:rsidR="00BF7CAD" w:rsidRPr="00020699" w:rsidRDefault="00BF7CAD">
      <w:pPr>
        <w:pStyle w:val="ConsPlusNormal"/>
        <w:ind w:firstLine="540"/>
        <w:jc w:val="both"/>
      </w:pPr>
      <w:bookmarkStart w:id="31" w:name="Par124"/>
      <w:bookmarkEnd w:id="31"/>
      <w:r w:rsidRPr="00020699">
        <w:t xml:space="preserve">2.14. Документы, предусмотренные </w:t>
      </w:r>
      <w:hyperlink w:anchor="Par83" w:tooltip="Ссылка на текущий документ" w:history="1">
        <w:r w:rsidRPr="00020699">
          <w:t>пунктами 2.7</w:t>
        </w:r>
      </w:hyperlink>
      <w:r w:rsidRPr="00020699">
        <w:t xml:space="preserve"> - </w:t>
      </w:r>
      <w:hyperlink w:anchor="Par119" w:tooltip="Ссылка на текущий документ" w:history="1">
        <w:r w:rsidRPr="00020699">
          <w:t>2.13</w:t>
        </w:r>
      </w:hyperlink>
      <w:r w:rsidRPr="00020699">
        <w:t xml:space="preserve"> настоящего Порядка, представляются в 3 экземплярах на бумажном носителе и в 1 экземпляре на электронном носителе в соответствии со </w:t>
      </w:r>
      <w:r w:rsidRPr="00020699">
        <w:lastRenderedPageBreak/>
        <w:t>следующими требованиями:</w:t>
      </w:r>
    </w:p>
    <w:p w:rsidR="00BF7CAD" w:rsidRPr="00020699" w:rsidRDefault="00BF7CAD">
      <w:pPr>
        <w:pStyle w:val="ConsPlusNormal"/>
        <w:ind w:firstLine="540"/>
        <w:jc w:val="both"/>
      </w:pPr>
      <w:r w:rsidRPr="00020699">
        <w:t>а) все листы документов должны быть прошиты, пронумерованы, скреплены печатью и подписаны уполномоченным лицом (за исключением нотариально заверенных копий);</w:t>
      </w:r>
    </w:p>
    <w:p w:rsidR="00BF7CAD" w:rsidRPr="00020699" w:rsidRDefault="00BF7CAD">
      <w:pPr>
        <w:pStyle w:val="ConsPlusNormal"/>
        <w:ind w:firstLine="540"/>
        <w:jc w:val="both"/>
      </w:pPr>
      <w:r w:rsidRPr="00020699">
        <w:t>б) наличие описи прилагаемых документов;</w:t>
      </w:r>
    </w:p>
    <w:p w:rsidR="00BF7CAD" w:rsidRPr="00020699" w:rsidRDefault="00BF7CAD">
      <w:pPr>
        <w:pStyle w:val="ConsPlusNormal"/>
        <w:ind w:firstLine="540"/>
        <w:jc w:val="both"/>
      </w:pPr>
      <w:r w:rsidRPr="00020699">
        <w:t>в) документы представляются в запечатанном конверте, с указанием наименования инвестора или муниципального образования, почтового адреса, а также пометки: "На отбор инвестиционных проектов для предоставления бюджетных ассигнований инвестиционного фонда".</w:t>
      </w:r>
    </w:p>
    <w:p w:rsidR="00BF7CAD" w:rsidRPr="00020699" w:rsidRDefault="00BF7CAD">
      <w:pPr>
        <w:pStyle w:val="ConsPlusNormal"/>
        <w:ind w:firstLine="540"/>
        <w:jc w:val="both"/>
      </w:pPr>
      <w:bookmarkStart w:id="32" w:name="Par128"/>
      <w:bookmarkEnd w:id="32"/>
      <w:r w:rsidRPr="00020699">
        <w:t>2.15. Инвестиционный проект не допускается к участию в отборе по одному из следующих оснований:</w:t>
      </w:r>
    </w:p>
    <w:p w:rsidR="00BF7CAD" w:rsidRPr="00020699" w:rsidRDefault="00BF7CAD">
      <w:pPr>
        <w:pStyle w:val="ConsPlusNormal"/>
        <w:ind w:firstLine="540"/>
        <w:jc w:val="both"/>
      </w:pPr>
      <w:bookmarkStart w:id="33" w:name="Par129"/>
      <w:bookmarkEnd w:id="33"/>
      <w:r w:rsidRPr="00020699">
        <w:t xml:space="preserve">а) представлен неполный комплект документов, предусмотренных </w:t>
      </w:r>
      <w:hyperlink w:anchor="Par84" w:tooltip="Ссылка на текущий документ" w:history="1">
        <w:r w:rsidRPr="00020699">
          <w:t>подпунктами "а"</w:t>
        </w:r>
      </w:hyperlink>
      <w:r w:rsidRPr="00020699">
        <w:t xml:space="preserve"> - </w:t>
      </w:r>
      <w:hyperlink w:anchor="Par95" w:tooltip="Ссылка на текущий документ" w:history="1">
        <w:r w:rsidRPr="00020699">
          <w:t>"з" пункта 2.7</w:t>
        </w:r>
      </w:hyperlink>
      <w:r w:rsidRPr="00020699">
        <w:t xml:space="preserve">, </w:t>
      </w:r>
      <w:hyperlink w:anchor="Par100" w:tooltip="Ссылка на текущий документ" w:history="1">
        <w:r w:rsidRPr="00020699">
          <w:t>пунктами 2.9</w:t>
        </w:r>
      </w:hyperlink>
      <w:r w:rsidRPr="00020699">
        <w:t xml:space="preserve"> - </w:t>
      </w:r>
      <w:hyperlink w:anchor="Par119" w:tooltip="Ссылка на текущий документ" w:history="1">
        <w:r w:rsidRPr="00020699">
          <w:t>2.13</w:t>
        </w:r>
      </w:hyperlink>
      <w:r w:rsidRPr="00020699">
        <w:t xml:space="preserve"> настоящего Порядка, за исключением документов, предусмотренных </w:t>
      </w:r>
      <w:hyperlink w:anchor="Par97" w:tooltip="Ссылка на текущий документ" w:history="1">
        <w:r w:rsidRPr="00020699">
          <w:t>пунктом 2.8</w:t>
        </w:r>
      </w:hyperlink>
      <w:r w:rsidRPr="00020699">
        <w:t xml:space="preserve"> и </w:t>
      </w:r>
      <w:hyperlink w:anchor="Par101" w:tooltip="Ссылка на текущий документ" w:history="1">
        <w:r w:rsidRPr="00020699">
          <w:t>подпунктом "а" пункта 2.9</w:t>
        </w:r>
      </w:hyperlink>
      <w:r w:rsidRPr="00020699">
        <w:t xml:space="preserve"> настоящего Порядка;</w:t>
      </w:r>
    </w:p>
    <w:p w:rsidR="00BF7CAD" w:rsidRPr="00020699" w:rsidRDefault="00BF7CAD">
      <w:pPr>
        <w:pStyle w:val="ConsPlusNormal"/>
        <w:jc w:val="both"/>
      </w:pPr>
      <w:r w:rsidRPr="00020699">
        <w:t xml:space="preserve">(пп. "а" в ред. </w:t>
      </w:r>
      <w:hyperlink r:id="rId25" w:tooltip="Постановление Правительства ХМАО - Югры от 29.05.2014 N 199-п &quot;О внесении изменений в некоторые постановления Правительства Ханты-Мансийского автономного округа - Югры&quot;{КонсультантПлюс}" w:history="1">
        <w:r w:rsidRPr="00020699">
          <w:t>постановления</w:t>
        </w:r>
      </w:hyperlink>
      <w:r w:rsidRPr="00020699">
        <w:t xml:space="preserve"> Правительства ХМАО - Югры от 29.05.2014 N 199-п)</w:t>
      </w:r>
    </w:p>
    <w:p w:rsidR="00BF7CAD" w:rsidRPr="00020699" w:rsidRDefault="00BF7CAD">
      <w:pPr>
        <w:pStyle w:val="ConsPlusNormal"/>
        <w:ind w:firstLine="540"/>
        <w:jc w:val="both"/>
      </w:pPr>
      <w:bookmarkStart w:id="34" w:name="Par131"/>
      <w:bookmarkEnd w:id="34"/>
      <w:r w:rsidRPr="00020699">
        <w:t xml:space="preserve">б) представленные документы не соответствуют требованиям, установленным </w:t>
      </w:r>
      <w:hyperlink w:anchor="Par124" w:tooltip="Ссылка на текущий документ" w:history="1">
        <w:r w:rsidRPr="00020699">
          <w:t>пунктом 2.14</w:t>
        </w:r>
      </w:hyperlink>
      <w:r w:rsidRPr="00020699">
        <w:t xml:space="preserve"> настоящего Порядка;</w:t>
      </w:r>
    </w:p>
    <w:p w:rsidR="00BF7CAD" w:rsidRPr="00020699" w:rsidRDefault="00BF7CAD">
      <w:pPr>
        <w:pStyle w:val="ConsPlusNormal"/>
        <w:ind w:firstLine="540"/>
        <w:jc w:val="both"/>
      </w:pPr>
      <w:bookmarkStart w:id="35" w:name="Par132"/>
      <w:bookmarkEnd w:id="35"/>
      <w:r w:rsidRPr="00020699">
        <w:t>в) в представленных документах содержится недостоверная информация или внутренние несоответствия;</w:t>
      </w:r>
    </w:p>
    <w:p w:rsidR="00BF7CAD" w:rsidRPr="00020699" w:rsidRDefault="00BF7CAD">
      <w:pPr>
        <w:pStyle w:val="ConsPlusNormal"/>
        <w:ind w:firstLine="540"/>
        <w:jc w:val="both"/>
      </w:pPr>
      <w:r w:rsidRPr="00020699">
        <w:t xml:space="preserve">г) инвестиционный проект не предусматривает осуществление мероприятий, указанных в </w:t>
      </w:r>
      <w:hyperlink w:anchor="Par58" w:tooltip="Ссылка на текущий документ" w:history="1">
        <w:r w:rsidRPr="00020699">
          <w:t>пункте 2.1</w:t>
        </w:r>
      </w:hyperlink>
      <w:r w:rsidRPr="00020699">
        <w:t xml:space="preserve"> настоящего Порядка;</w:t>
      </w:r>
    </w:p>
    <w:p w:rsidR="00BF7CAD" w:rsidRPr="00020699" w:rsidRDefault="00BF7CAD">
      <w:pPr>
        <w:pStyle w:val="ConsPlusNormal"/>
        <w:ind w:firstLine="540"/>
        <w:jc w:val="both"/>
      </w:pPr>
      <w:r w:rsidRPr="00020699">
        <w:t xml:space="preserve">д) инвестиционный проект не соответствует требованиям, указанным в </w:t>
      </w:r>
      <w:hyperlink w:anchor="Par67" w:tooltip="Ссылка на текущий документ" w:history="1">
        <w:r w:rsidRPr="00020699">
          <w:t>пункте 2.2</w:t>
        </w:r>
      </w:hyperlink>
      <w:r w:rsidRPr="00020699">
        <w:t xml:space="preserve"> настоящего Порядка;</w:t>
      </w:r>
    </w:p>
    <w:p w:rsidR="00BF7CAD" w:rsidRPr="00020699" w:rsidRDefault="00BF7CAD">
      <w:pPr>
        <w:pStyle w:val="ConsPlusNormal"/>
        <w:ind w:firstLine="540"/>
        <w:jc w:val="both"/>
      </w:pPr>
      <w:r w:rsidRPr="00020699">
        <w:t xml:space="preserve">е) инвестор (за исключением концессионера), желающий участвовать в реализации инвестиционного проекта, не соответствует требованиям, указанным в </w:t>
      </w:r>
      <w:hyperlink w:anchor="Par74" w:tooltip="Ссылка на текущий документ" w:history="1">
        <w:r w:rsidRPr="00020699">
          <w:t>пункте 2.3</w:t>
        </w:r>
      </w:hyperlink>
      <w:r w:rsidRPr="00020699">
        <w:t xml:space="preserve"> настоящего Порядка;</w:t>
      </w:r>
    </w:p>
    <w:p w:rsidR="00BF7CAD" w:rsidRPr="00020699" w:rsidRDefault="00BF7CAD">
      <w:pPr>
        <w:pStyle w:val="ConsPlusNormal"/>
        <w:ind w:firstLine="540"/>
        <w:jc w:val="both"/>
      </w:pPr>
      <w:bookmarkStart w:id="36" w:name="Par136"/>
      <w:bookmarkEnd w:id="36"/>
      <w:r w:rsidRPr="00020699">
        <w:t xml:space="preserve">ж) в стоимость инвестиционного проекта включены затраты, не предусмотренные </w:t>
      </w:r>
      <w:hyperlink w:anchor="Par78" w:tooltip="Ссылка на текущий документ" w:history="1">
        <w:r w:rsidRPr="00020699">
          <w:t>пунктом 2.4</w:t>
        </w:r>
      </w:hyperlink>
      <w:r w:rsidRPr="00020699">
        <w:t xml:space="preserve"> настоящего Порядка.</w:t>
      </w:r>
    </w:p>
    <w:p w:rsidR="00BF7CAD" w:rsidRPr="00020699" w:rsidRDefault="00BF7CAD">
      <w:pPr>
        <w:pStyle w:val="ConsPlusNormal"/>
        <w:ind w:firstLine="540"/>
        <w:jc w:val="both"/>
      </w:pPr>
      <w:r w:rsidRPr="00020699">
        <w:t>2.16. Инвестиционные проекты, участвующие в отборе, оцениваются по следующим критериям:</w:t>
      </w:r>
    </w:p>
    <w:p w:rsidR="00BF7CAD" w:rsidRPr="00020699" w:rsidRDefault="00BF7CAD">
      <w:pPr>
        <w:pStyle w:val="ConsPlusNormal"/>
        <w:ind w:firstLine="540"/>
        <w:jc w:val="both"/>
      </w:pPr>
      <w:r w:rsidRPr="00020699">
        <w:t>а) соотношение стоимости инвестиционного проекта и запрашиваемого объема финансирования за счет бюджетных ассигнований инвестиционного фонда;</w:t>
      </w:r>
    </w:p>
    <w:p w:rsidR="00BF7CAD" w:rsidRPr="00020699" w:rsidRDefault="00BF7CAD">
      <w:pPr>
        <w:pStyle w:val="ConsPlusNormal"/>
        <w:ind w:firstLine="540"/>
        <w:jc w:val="both"/>
      </w:pPr>
      <w:r w:rsidRPr="00020699">
        <w:t>б) 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финансирования за счет бюджетных ассигнований инвестиционного фонда;</w:t>
      </w:r>
    </w:p>
    <w:p w:rsidR="00BF7CAD" w:rsidRPr="00020699" w:rsidRDefault="00BF7CAD">
      <w:pPr>
        <w:pStyle w:val="ConsPlusNormal"/>
        <w:ind w:firstLine="540"/>
        <w:jc w:val="both"/>
      </w:pPr>
      <w:r w:rsidRPr="00020699">
        <w:t>в) соотношение прогнозируемого прироста за пять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финансирования за счет бюджетных ассигнований инвестиционного фонда;</w:t>
      </w:r>
    </w:p>
    <w:p w:rsidR="00BF7CAD" w:rsidRPr="00020699" w:rsidRDefault="00BF7CAD">
      <w:pPr>
        <w:pStyle w:val="ConsPlusNormal"/>
        <w:ind w:firstLine="540"/>
        <w:jc w:val="both"/>
      </w:pPr>
      <w:r w:rsidRPr="00020699">
        <w:t>г) количество высокопроизводительных рабочих мест, создаваемых в ходе реализации инвестиционного проекта;</w:t>
      </w:r>
    </w:p>
    <w:p w:rsidR="00BF7CAD" w:rsidRPr="00020699" w:rsidRDefault="00BF7CAD">
      <w:pPr>
        <w:pStyle w:val="ConsPlusNormal"/>
        <w:ind w:firstLine="540"/>
        <w:jc w:val="both"/>
      </w:pPr>
      <w:r w:rsidRPr="00020699">
        <w:t>д) реализация инвестиционного проекта в муниципальном образовании автономного округа, включенном в перечень моногородов, одобренный приказом Министерства регионального развития Российской Федерации.</w:t>
      </w:r>
    </w:p>
    <w:p w:rsidR="00BF7CAD" w:rsidRPr="00020699" w:rsidRDefault="00BF7CAD">
      <w:pPr>
        <w:pStyle w:val="ConsPlusNormal"/>
        <w:ind w:firstLine="540"/>
        <w:jc w:val="both"/>
      </w:pPr>
      <w:r w:rsidRPr="00020699">
        <w:t>2.17. Отбор проводится в пределах объема бюджетных ассигнований инвестиционного фонда, установленного законом Ханты-Мансийского автономного округа - Югры о бюджете на очередной финансовый год и плановый период.</w:t>
      </w:r>
    </w:p>
    <w:p w:rsidR="00BF7CAD" w:rsidRPr="00020699" w:rsidRDefault="00BF7CAD">
      <w:pPr>
        <w:pStyle w:val="ConsPlusNormal"/>
        <w:ind w:firstLine="540"/>
        <w:jc w:val="both"/>
      </w:pPr>
      <w:r w:rsidRPr="00020699">
        <w:t>2.18. Информационное сообщение о начале приема документов для участия в отборе, месте и времени вскрытия конвертов публикуется в газете "Новости Югры", а также размещается на официальном сайте Депэкономики Югры в сети Интернет - http://www.depeconom.admhmao.ru.</w:t>
      </w:r>
    </w:p>
    <w:p w:rsidR="00BF7CAD" w:rsidRPr="00020699" w:rsidRDefault="00BF7CAD">
      <w:pPr>
        <w:pStyle w:val="ConsPlusNormal"/>
        <w:ind w:firstLine="540"/>
        <w:jc w:val="both"/>
      </w:pPr>
      <w:r w:rsidRPr="00020699">
        <w:t>Информационное сообщение публикуется не позднее чем за 5 месяцев до начала приема документов при наличии бюджетных ассигнований инвестиционного фонда на соответствующий год.</w:t>
      </w:r>
    </w:p>
    <w:p w:rsidR="00BF7CAD" w:rsidRPr="00020699" w:rsidRDefault="00BF7CAD">
      <w:pPr>
        <w:pStyle w:val="ConsPlusNormal"/>
        <w:jc w:val="both"/>
      </w:pPr>
      <w:r w:rsidRPr="00020699">
        <w:t xml:space="preserve">(в ред. </w:t>
      </w:r>
      <w:hyperlink r:id="rId26" w:tooltip="Постановление Правительства ХМАО - Югры от 29.05.2014 N 199-п &quot;О внесении изменений в некоторые постановления Правительства Ханты-Мансийского автономного округа - Югры&quot;{КонсультантПлюс}" w:history="1">
        <w:r w:rsidRPr="00020699">
          <w:t>постановления</w:t>
        </w:r>
      </w:hyperlink>
      <w:r w:rsidRPr="00020699">
        <w:t xml:space="preserve"> Правительства ХМАО - Югры от 29.05.2014 N 199-п)</w:t>
      </w:r>
    </w:p>
    <w:p w:rsidR="00BF7CAD" w:rsidRPr="00020699" w:rsidRDefault="00BF7CAD">
      <w:pPr>
        <w:pStyle w:val="ConsPlusNormal"/>
        <w:ind w:firstLine="540"/>
        <w:jc w:val="both"/>
      </w:pPr>
      <w:r w:rsidRPr="00020699">
        <w:t>2.19. Прием документов для участия в отборе инвестиционных проектов осуществляется в течение 30 календарных дней со дня начала приема документов.</w:t>
      </w:r>
    </w:p>
    <w:p w:rsidR="00BF7CAD" w:rsidRPr="00020699" w:rsidRDefault="00BF7CAD">
      <w:pPr>
        <w:pStyle w:val="ConsPlusNormal"/>
        <w:jc w:val="both"/>
      </w:pPr>
      <w:r w:rsidRPr="00020699">
        <w:t xml:space="preserve">(в ред. </w:t>
      </w:r>
      <w:hyperlink r:id="rId27" w:tooltip="Постановление Правительства ХМАО - Югры от 29.05.2014 N 199-п &quot;О внесении изменений в некоторые постановления Правительства Ханты-Мансийского автономного округа - Югры&quot;{КонсультантПлюс}" w:history="1">
        <w:r w:rsidRPr="00020699">
          <w:t>постановления</w:t>
        </w:r>
      </w:hyperlink>
      <w:r w:rsidRPr="00020699">
        <w:t xml:space="preserve"> Правительства ХМАО - Югры от 29.05.2014 N 199-п)</w:t>
      </w:r>
    </w:p>
    <w:p w:rsidR="00BF7CAD" w:rsidRPr="00020699" w:rsidRDefault="00BF7CAD">
      <w:pPr>
        <w:pStyle w:val="ConsPlusNormal"/>
        <w:ind w:firstLine="540"/>
        <w:jc w:val="both"/>
      </w:pPr>
      <w:r w:rsidRPr="00020699">
        <w:t xml:space="preserve">2.20. Депэкономики Югры регистрирует конверты с указанными в </w:t>
      </w:r>
      <w:hyperlink w:anchor="Par83" w:tooltip="Ссылка на текущий документ" w:history="1">
        <w:r w:rsidRPr="00020699">
          <w:t>пунктах 2.7</w:t>
        </w:r>
      </w:hyperlink>
      <w:r w:rsidRPr="00020699">
        <w:t xml:space="preserve"> - </w:t>
      </w:r>
      <w:hyperlink w:anchor="Par119" w:tooltip="Ссылка на текущий документ" w:history="1">
        <w:r w:rsidRPr="00020699">
          <w:t>2.13</w:t>
        </w:r>
      </w:hyperlink>
      <w:r w:rsidRPr="00020699">
        <w:t xml:space="preserve"> настоящего Порядка документами (далее - документы) в день их приема.</w:t>
      </w:r>
    </w:p>
    <w:p w:rsidR="00BF7CAD" w:rsidRPr="00020699" w:rsidRDefault="00BF7CAD">
      <w:pPr>
        <w:pStyle w:val="ConsPlusNormal"/>
        <w:ind w:firstLine="540"/>
        <w:jc w:val="both"/>
      </w:pPr>
      <w:r w:rsidRPr="00020699">
        <w:t>2.21. В Депэкономики Югры формируется рабочая группа по вскрытию конвертов и рассмотрению документов (далее - Рабочая группа), порядок работы и состав которой утверждаются приказом Депэкономики Югры.</w:t>
      </w:r>
    </w:p>
    <w:p w:rsidR="00BF7CAD" w:rsidRPr="00020699" w:rsidRDefault="00BF7CAD">
      <w:pPr>
        <w:pStyle w:val="ConsPlusNormal"/>
        <w:ind w:firstLine="540"/>
        <w:jc w:val="both"/>
      </w:pPr>
      <w:r w:rsidRPr="00020699">
        <w:t>2.22. Уполномоченные представители инвесторов и (или) заинтересованных муниципальных образований вправе присутствовать при вскрытии конвертов Рабочей группой.</w:t>
      </w:r>
    </w:p>
    <w:p w:rsidR="00BF7CAD" w:rsidRPr="00020699" w:rsidRDefault="00BF7CAD">
      <w:pPr>
        <w:pStyle w:val="ConsPlusNormal"/>
        <w:ind w:firstLine="540"/>
        <w:jc w:val="both"/>
      </w:pPr>
      <w:r w:rsidRPr="00020699">
        <w:t xml:space="preserve">2.23. Рабочая группа в течение 1 рабочего дня после окончания срока приема документов вскрывает конверты, рассматривает документы на предмет наличия оснований для отказа в допуске к отбору, </w:t>
      </w:r>
      <w:r w:rsidRPr="00020699">
        <w:lastRenderedPageBreak/>
        <w:t xml:space="preserve">указанных в </w:t>
      </w:r>
      <w:hyperlink w:anchor="Par129" w:tooltip="Ссылка на текущий документ" w:history="1">
        <w:r w:rsidRPr="00020699">
          <w:t>подпунктах "а"</w:t>
        </w:r>
      </w:hyperlink>
      <w:r w:rsidRPr="00020699">
        <w:t xml:space="preserve">, </w:t>
      </w:r>
      <w:hyperlink w:anchor="Par131" w:tooltip="Ссылка на текущий документ" w:history="1">
        <w:r w:rsidRPr="00020699">
          <w:t>"б" пункта 2.15</w:t>
        </w:r>
      </w:hyperlink>
      <w:r w:rsidRPr="00020699">
        <w:t xml:space="preserve"> настоящего Порядка, и принимает в отношении каждого инвестиционного проекта решение о принятии документов к рассмотрению или об отказе в допуске инвестиционного проекта к отбору с указанием причин отказа, которое оформляется протоколом вскрытия конвертов (далее - Протокол вскрытия конвертов).</w:t>
      </w:r>
    </w:p>
    <w:p w:rsidR="00BF7CAD" w:rsidRPr="00020699" w:rsidRDefault="00BF7CAD">
      <w:pPr>
        <w:pStyle w:val="ConsPlusNormal"/>
        <w:ind w:firstLine="540"/>
        <w:jc w:val="both"/>
      </w:pPr>
      <w:r w:rsidRPr="00020699">
        <w:t>2.24. Протокол вскрытия конвертов ведется Рабочей группой и подписывается всеми ее членами в день вскрытия конвертов. Протокол вскрытия конвертов размещается на официальном сайте Депэкономики Югры в сети Интернет - http://www.depeconom.admhmao.ru в день его подписания.</w:t>
      </w:r>
    </w:p>
    <w:p w:rsidR="00BF7CAD" w:rsidRPr="00020699" w:rsidRDefault="00BF7CAD">
      <w:pPr>
        <w:pStyle w:val="ConsPlusNormal"/>
        <w:ind w:firstLine="540"/>
        <w:jc w:val="both"/>
      </w:pPr>
      <w:r w:rsidRPr="00020699">
        <w:t xml:space="preserve">2.25. В случае, если инвестором или муниципальным образованием не представлены предусмотренные </w:t>
      </w:r>
      <w:hyperlink w:anchor="Par96" w:tooltip="Ссылка на текущий документ" w:history="1">
        <w:r w:rsidRPr="00020699">
          <w:t>подпунктом "и" пункта 2.7</w:t>
        </w:r>
      </w:hyperlink>
      <w:r w:rsidRPr="00020699">
        <w:t xml:space="preserve"> документы о состоянии расчетов инвестора по налогам, сборам и иным обязательным платежам в бюджетную систему Российской Федерации, Рабочая группа, в течение 10 рабочих дней со дня подписания Протокола вскрытия конвертов, путем межведомственного взаимодействия в соответствии с законодательством Российской Федерации запрашивает:</w:t>
      </w:r>
    </w:p>
    <w:p w:rsidR="00BF7CAD" w:rsidRPr="00020699" w:rsidRDefault="00BF7CAD">
      <w:pPr>
        <w:pStyle w:val="ConsPlusNormal"/>
        <w:ind w:firstLine="540"/>
        <w:jc w:val="both"/>
      </w:pPr>
      <w:r w:rsidRPr="00020699">
        <w:t>а) информацию налогового органа об отсутствии просроченной задолженности по уплате налогов и иных обязательных платежей в бюджеты всех уровней;</w:t>
      </w:r>
    </w:p>
    <w:p w:rsidR="00BF7CAD" w:rsidRPr="00020699" w:rsidRDefault="00BF7CAD">
      <w:pPr>
        <w:pStyle w:val="ConsPlusNormal"/>
        <w:ind w:firstLine="540"/>
        <w:jc w:val="both"/>
      </w:pPr>
      <w:r w:rsidRPr="00020699">
        <w:t>б) информацию Отделения Пенсионного Фонда Российской Федерации по Ханты-Мансийскому автономному округу - Югре об отсутствии просроченной задолженности по уплате страховых взносов;</w:t>
      </w:r>
    </w:p>
    <w:p w:rsidR="00BF7CAD" w:rsidRPr="00020699" w:rsidRDefault="00BF7CAD">
      <w:pPr>
        <w:pStyle w:val="ConsPlusNormal"/>
        <w:ind w:firstLine="540"/>
        <w:jc w:val="both"/>
      </w:pPr>
      <w:r w:rsidRPr="00020699">
        <w:t>в) информацию Регионального отделения Фонда социального страхования Российской Федерации по Ханты-Мансийскому автономному округу - Югре, подтверждающую отсутствие просроченной задолженности по уплате страховых взносов.</w:t>
      </w:r>
    </w:p>
    <w:p w:rsidR="00BF7CAD" w:rsidRPr="00020699" w:rsidRDefault="00BF7CAD">
      <w:pPr>
        <w:pStyle w:val="ConsPlusNormal"/>
        <w:ind w:firstLine="540"/>
        <w:jc w:val="both"/>
      </w:pPr>
      <w:r w:rsidRPr="00020699">
        <w:t xml:space="preserve">В случае если инвестором или муниципальным образованием не представлены документы, предусмотренные </w:t>
      </w:r>
      <w:hyperlink w:anchor="Par97" w:tooltip="Ссылка на текущий документ" w:history="1">
        <w:r w:rsidRPr="00020699">
          <w:t>пунктом 2.8</w:t>
        </w:r>
      </w:hyperlink>
      <w:r w:rsidRPr="00020699">
        <w:t xml:space="preserve"> и (или) </w:t>
      </w:r>
      <w:hyperlink w:anchor="Par101" w:tooltip="Ссылка на текущий документ" w:history="1">
        <w:r w:rsidRPr="00020699">
          <w:t>подпунктом "а" пункта 2.9</w:t>
        </w:r>
      </w:hyperlink>
      <w:r w:rsidRPr="00020699">
        <w:t>, Рабочая группа в течение 10 рабочих дней со дня подписания Протокола вскрытия конвертов запрашивает указанные документы в порядке межведомственного информационного взаимодействия, в соответствии с требованиями законодательства Российской Федерации.</w:t>
      </w:r>
    </w:p>
    <w:p w:rsidR="00BF7CAD" w:rsidRPr="00020699" w:rsidRDefault="00BF7CAD">
      <w:pPr>
        <w:pStyle w:val="ConsPlusNormal"/>
        <w:jc w:val="both"/>
      </w:pPr>
      <w:r w:rsidRPr="00020699">
        <w:t xml:space="preserve">(абзац введен </w:t>
      </w:r>
      <w:hyperlink r:id="rId28" w:tooltip="Постановление Правительства ХМАО - Югры от 29.05.2014 N 199-п &quot;О внесении изменений в некоторые постановления Правительства Ханты-Мансийского автономного округа - Югры&quot;{КонсультантПлюс}" w:history="1">
        <w:r w:rsidRPr="00020699">
          <w:t>постановлением</w:t>
        </w:r>
      </w:hyperlink>
      <w:r w:rsidRPr="00020699">
        <w:t xml:space="preserve"> Правительства ХМАО - Югры от 29.05.2014 N 199-п)</w:t>
      </w:r>
    </w:p>
    <w:p w:rsidR="00BF7CAD" w:rsidRPr="00020699" w:rsidRDefault="00BF7CAD">
      <w:pPr>
        <w:pStyle w:val="ConsPlusNormal"/>
        <w:ind w:firstLine="540"/>
        <w:jc w:val="both"/>
      </w:pPr>
      <w:r w:rsidRPr="00020699">
        <w:t>2.26. Рабочая группа в течение 20 рабочих дней со дня подписания Протокола вскрытия конвертов:</w:t>
      </w:r>
    </w:p>
    <w:p w:rsidR="00BF7CAD" w:rsidRPr="00020699" w:rsidRDefault="00BF7CAD">
      <w:pPr>
        <w:pStyle w:val="ConsPlusNormal"/>
        <w:ind w:firstLine="540"/>
        <w:jc w:val="both"/>
      </w:pPr>
      <w:r w:rsidRPr="00020699">
        <w:t xml:space="preserve">а) направляет в электронном виде документы в исполнительные органы государственной власти автономного округа, осуществляющие функции по реализации единой государственной политики и нормативному правовому регулированию, оказанию государственных услуг в соответствующих сферах экономической деятельности для получения экспертных заключений на предмет наличия оснований для отказа в допуске инвестиционного проекта к отбору, указанных в </w:t>
      </w:r>
      <w:hyperlink w:anchor="Par132" w:tooltip="Ссылка на текущий документ" w:history="1">
        <w:r w:rsidRPr="00020699">
          <w:t>подпунктах "в"</w:t>
        </w:r>
      </w:hyperlink>
      <w:r w:rsidRPr="00020699">
        <w:t xml:space="preserve"> - </w:t>
      </w:r>
      <w:hyperlink w:anchor="Par136" w:tooltip="Ссылка на текущий документ" w:history="1">
        <w:r w:rsidRPr="00020699">
          <w:t>"ж" пункта 2.15</w:t>
        </w:r>
      </w:hyperlink>
      <w:r w:rsidRPr="00020699">
        <w:t xml:space="preserve"> настоящего Порядка;</w:t>
      </w:r>
    </w:p>
    <w:p w:rsidR="00BF7CAD" w:rsidRPr="00020699" w:rsidRDefault="00BF7CAD">
      <w:pPr>
        <w:pStyle w:val="ConsPlusNormal"/>
        <w:ind w:firstLine="540"/>
        <w:jc w:val="both"/>
      </w:pPr>
      <w:r w:rsidRPr="00020699">
        <w:t xml:space="preserve">б) рассматривает документы на предмет наличия оснований для отказа в допуске инвестиционного проекта к отбору, указанных в </w:t>
      </w:r>
      <w:hyperlink w:anchor="Par132" w:tooltip="Ссылка на текущий документ" w:history="1">
        <w:r w:rsidRPr="00020699">
          <w:t>подпунктах "в"</w:t>
        </w:r>
      </w:hyperlink>
      <w:r w:rsidRPr="00020699">
        <w:t xml:space="preserve"> - </w:t>
      </w:r>
      <w:hyperlink w:anchor="Par136" w:tooltip="Ссылка на текущий документ" w:history="1">
        <w:r w:rsidRPr="00020699">
          <w:t>"ж" пункта 2.15</w:t>
        </w:r>
      </w:hyperlink>
      <w:r w:rsidRPr="00020699">
        <w:t xml:space="preserve"> настоящего Порядка;</w:t>
      </w:r>
    </w:p>
    <w:p w:rsidR="00BF7CAD" w:rsidRPr="00020699" w:rsidRDefault="00BF7CAD">
      <w:pPr>
        <w:pStyle w:val="ConsPlusNormal"/>
        <w:ind w:firstLine="540"/>
        <w:jc w:val="both"/>
      </w:pPr>
      <w:bookmarkStart w:id="37" w:name="Par163"/>
      <w:bookmarkEnd w:id="37"/>
      <w:r w:rsidRPr="00020699">
        <w:t xml:space="preserve">в) осуществляет расчет суммы баллов по каждому инвестиционному проекту в соответствии с критериями отбора согласно </w:t>
      </w:r>
      <w:hyperlink w:anchor="Par197" w:tooltip="Ссылка на текущий документ" w:history="1">
        <w:r w:rsidRPr="00020699">
          <w:t>Таблице</w:t>
        </w:r>
      </w:hyperlink>
      <w:r w:rsidRPr="00020699">
        <w:t>.</w:t>
      </w:r>
    </w:p>
    <w:p w:rsidR="00BF7CAD" w:rsidRPr="00020699" w:rsidRDefault="00BF7CAD">
      <w:pPr>
        <w:pStyle w:val="ConsPlusNormal"/>
        <w:ind w:firstLine="540"/>
        <w:jc w:val="both"/>
      </w:pPr>
      <w:r w:rsidRPr="00020699">
        <w:t xml:space="preserve">2.27. В случае наличия оснований для отказа в допуске инвестиционного проекта к отбору, указанных в </w:t>
      </w:r>
      <w:hyperlink w:anchor="Par128" w:tooltip="Ссылка на текущий документ" w:history="1">
        <w:r w:rsidRPr="00020699">
          <w:t>пункте 2.15</w:t>
        </w:r>
      </w:hyperlink>
      <w:r w:rsidRPr="00020699">
        <w:t xml:space="preserve"> настоящего Порядка, Депэкономики Югры в течение 25 рабочих дней со дня подписания Протокола вскрытия конвертов направляет инвестору и (или) заинтересованному муниципальному образованию письменное уведомление об отказе в допуске инвестиционного проекта к отбору с указанием причин отказа.</w:t>
      </w:r>
    </w:p>
    <w:p w:rsidR="00BF7CAD" w:rsidRPr="00020699" w:rsidRDefault="00BF7CAD">
      <w:pPr>
        <w:pStyle w:val="ConsPlusNormal"/>
        <w:ind w:firstLine="540"/>
        <w:jc w:val="both"/>
      </w:pPr>
      <w:r w:rsidRPr="00020699">
        <w:t xml:space="preserve">2.28. Депэкономики Югры распределяет инвестиционные проекты в сводной таблице в порядке убывания количества баллов, рассчитанных в соответствии с </w:t>
      </w:r>
      <w:hyperlink w:anchor="Par163" w:tooltip="Ссылка на текущий документ" w:history="1">
        <w:r w:rsidRPr="00020699">
          <w:t>подпунктом "в" пункта 2.26</w:t>
        </w:r>
      </w:hyperlink>
      <w:r w:rsidRPr="00020699">
        <w:t xml:space="preserve"> настоящего Порядка, и представляет документы по указанным инвестиционным проектам для рассмотрения на очередном (ближайшем) заседании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(далее - Совет).</w:t>
      </w:r>
    </w:p>
    <w:p w:rsidR="00BF7CAD" w:rsidRPr="00020699" w:rsidRDefault="00BF7CAD">
      <w:pPr>
        <w:pStyle w:val="ConsPlusNormal"/>
        <w:ind w:firstLine="540"/>
        <w:jc w:val="both"/>
      </w:pPr>
      <w:r w:rsidRPr="00020699">
        <w:t>2.29. Совет определяет победителей отбора и распределяет объемы финансирования инвестиционных проектов в пределах объема бюджетных ассигнований инвестиционного фонда, установленных законом Ханты-Мансийского автономного округа - Югры о бюджете на очередной финансовый год и плановый период.</w:t>
      </w:r>
    </w:p>
    <w:p w:rsidR="00BF7CAD" w:rsidRPr="00020699" w:rsidRDefault="00BF7CAD">
      <w:pPr>
        <w:pStyle w:val="ConsPlusNormal"/>
        <w:ind w:firstLine="540"/>
        <w:jc w:val="both"/>
      </w:pPr>
      <w:bookmarkStart w:id="38" w:name="Par167"/>
      <w:bookmarkEnd w:id="38"/>
      <w:r w:rsidRPr="00020699">
        <w:t>2.30. Решение о результатах проведенного на конкурсной основе отбора принимается Советом в порядке, установленном его Положением.</w:t>
      </w:r>
    </w:p>
    <w:p w:rsidR="00BF7CAD" w:rsidRPr="00020699" w:rsidRDefault="00BF7CAD">
      <w:pPr>
        <w:pStyle w:val="ConsPlusNormal"/>
        <w:ind w:firstLine="540"/>
        <w:jc w:val="both"/>
      </w:pPr>
      <w:r w:rsidRPr="00020699">
        <w:t>2.31. В решении Совета указывается:</w:t>
      </w:r>
    </w:p>
    <w:p w:rsidR="00BF7CAD" w:rsidRPr="00020699" w:rsidRDefault="00BF7CAD">
      <w:pPr>
        <w:pStyle w:val="ConsPlusNormal"/>
        <w:ind w:firstLine="540"/>
        <w:jc w:val="both"/>
      </w:pPr>
      <w:r w:rsidRPr="00020699">
        <w:t>а) инвестиционный проект, в отношении которого принято решение о предоставлении бюджетных ассигнований инвестиционного фонда Ханты-Мансийского автономного округа - Югры;</w:t>
      </w:r>
    </w:p>
    <w:p w:rsidR="00BF7CAD" w:rsidRPr="00020699" w:rsidRDefault="00BF7CAD">
      <w:pPr>
        <w:pStyle w:val="ConsPlusNormal"/>
        <w:ind w:firstLine="540"/>
        <w:jc w:val="both"/>
      </w:pPr>
      <w:r w:rsidRPr="00020699">
        <w:t>б) целевые показатели реализации инвестиционного проекта;</w:t>
      </w:r>
    </w:p>
    <w:p w:rsidR="00BF7CAD" w:rsidRPr="00020699" w:rsidRDefault="00BF7CAD">
      <w:pPr>
        <w:pStyle w:val="ConsPlusNormal"/>
        <w:ind w:firstLine="540"/>
        <w:jc w:val="both"/>
      </w:pPr>
      <w:r w:rsidRPr="00020699">
        <w:t>в) стороны, участвующие в реализации инвестиционного проекта;</w:t>
      </w:r>
    </w:p>
    <w:p w:rsidR="00BF7CAD" w:rsidRPr="00020699" w:rsidRDefault="00BF7CAD">
      <w:pPr>
        <w:pStyle w:val="ConsPlusNormal"/>
        <w:ind w:firstLine="540"/>
        <w:jc w:val="both"/>
      </w:pPr>
      <w:r w:rsidRPr="00020699">
        <w:t>г) объем бюджетных ассигнований инвестиционного фонда, направляемых на создание объектов капитального строительства государственной (муниципальной) собственности;</w:t>
      </w:r>
    </w:p>
    <w:p w:rsidR="00BF7CAD" w:rsidRPr="00020699" w:rsidRDefault="00BF7CAD">
      <w:pPr>
        <w:pStyle w:val="ConsPlusNormal"/>
        <w:ind w:firstLine="540"/>
        <w:jc w:val="both"/>
      </w:pPr>
      <w:r w:rsidRPr="00020699">
        <w:lastRenderedPageBreak/>
        <w:t>д) перечень объектов капитального строительства государственной (муниципальной) собственности;</w:t>
      </w:r>
    </w:p>
    <w:p w:rsidR="00BF7CAD" w:rsidRPr="00020699" w:rsidRDefault="00BF7CAD">
      <w:pPr>
        <w:pStyle w:val="ConsPlusNormal"/>
        <w:ind w:firstLine="540"/>
        <w:jc w:val="both"/>
      </w:pPr>
      <w:bookmarkStart w:id="39" w:name="Par174"/>
      <w:bookmarkEnd w:id="39"/>
      <w:r w:rsidRPr="00020699">
        <w:t>е) исполнительный орган государственной власти автономного округа и (или) муниципальное образование автономного округа, уполномоченные заключить инвестиционное соглашение о реализации и финансировании инвестиционного проекта (при необходимости).</w:t>
      </w:r>
    </w:p>
    <w:p w:rsidR="00BF7CAD" w:rsidRPr="00020699" w:rsidRDefault="00BF7CAD">
      <w:pPr>
        <w:pStyle w:val="ConsPlusNormal"/>
        <w:ind w:firstLine="540"/>
        <w:jc w:val="both"/>
      </w:pPr>
      <w:bookmarkStart w:id="40" w:name="Par175"/>
      <w:bookmarkEnd w:id="40"/>
      <w:r w:rsidRPr="00020699">
        <w:t xml:space="preserve">2.32. Депэкономики Югры в срок не более 5 рабочих дней с даты принятия Советом решения, указанного в </w:t>
      </w:r>
      <w:hyperlink w:anchor="Par167" w:tooltip="Ссылка на текущий документ" w:history="1">
        <w:r w:rsidRPr="00020699">
          <w:t>пункте 2.30</w:t>
        </w:r>
      </w:hyperlink>
      <w:r w:rsidRPr="00020699">
        <w:t xml:space="preserve"> настоящего Порядка, вносит в Правительство автономного округа предложения о внесении изменений в государственную </w:t>
      </w:r>
      <w:hyperlink r:id="rId29" w:tooltip="Постановление Правительства ХМАО - Югры от 09.10.2013 N 419-п (ред. от 24.10.2014) &quot;О государственной программе Ханты-Мансийского автономного округа - Югры &quot;Социально-экономическое развитие, инвестиции и инновации Ханты-Мансийского автономного округа - Югры на 2014 - 2020 годы&quot; (вместе с &quot;Порядком предоставления субсидий для реализации инвестиционных проектов в сфере потребительского рынка&quot;, &quot;Договором о предоставлении субсидии&quot;, &quot;Порядком предоставления финансовой поддержки организациям инфраструктуры подд{КонсультантПлюс}" w:history="1">
        <w:r w:rsidRPr="00020699">
          <w:t>программу</w:t>
        </w:r>
      </w:hyperlink>
      <w:r w:rsidRPr="00020699">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направленные на закрепление соисполнителя (соисполнителей) мероприятия "Обеспечение использования средств Инвестиционного фонда Ханты-Мансийского автономного округа - Югры на реализацию инвестиционных проектов" в соответствии с </w:t>
      </w:r>
      <w:hyperlink w:anchor="Par174" w:tooltip="Ссылка на текущий документ" w:history="1">
        <w:r w:rsidRPr="00020699">
          <w:t>подпунктом "е" пункта 2.31</w:t>
        </w:r>
      </w:hyperlink>
      <w:r w:rsidRPr="00020699">
        <w:t xml:space="preserve"> настоящего Порядка.</w:t>
      </w:r>
    </w:p>
    <w:p w:rsidR="00BF7CAD" w:rsidRPr="00020699" w:rsidRDefault="00BF7CAD">
      <w:pPr>
        <w:pStyle w:val="ConsPlusNormal"/>
        <w:ind w:firstLine="540"/>
        <w:jc w:val="both"/>
      </w:pPr>
      <w:r w:rsidRPr="00020699">
        <w:t xml:space="preserve">2.33. В срок не более 5 рабочих дней с даты внесения изменений в государственную </w:t>
      </w:r>
      <w:hyperlink r:id="rId30" w:tooltip="Постановление Правительства ХМАО - Югры от 09.10.2013 N 419-п (ред. от 24.10.2014) &quot;О государственной программе Ханты-Мансийского автономного округа - Югры &quot;Социально-экономическое развитие, инвестиции и инновации Ханты-Мансийского автономного округа - Югры на 2014 - 2020 годы&quot; (вместе с &quot;Порядком предоставления субсидий для реализации инвестиционных проектов в сфере потребительского рынка&quot;, &quot;Договором о предоставлении субсидии&quot;, &quot;Порядком предоставления финансовой поддержки организациям инфраструктуры подд{КонсультантПлюс}" w:history="1">
        <w:r w:rsidRPr="00020699">
          <w:t>программу</w:t>
        </w:r>
      </w:hyperlink>
      <w:r w:rsidRPr="00020699">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указанных в </w:t>
      </w:r>
      <w:hyperlink w:anchor="Par175" w:tooltip="Ссылка на текущий документ" w:history="1">
        <w:r w:rsidRPr="00020699">
          <w:t>пункте 2.32</w:t>
        </w:r>
      </w:hyperlink>
      <w:r w:rsidRPr="00020699">
        <w:t xml:space="preserve"> настоящего Порядка, заключается инвестиционное соглашение о совместной реализации инвестиционного проекта, которое содержит:</w:t>
      </w:r>
    </w:p>
    <w:p w:rsidR="00BF7CAD" w:rsidRPr="00020699" w:rsidRDefault="00BF7CAD">
      <w:pPr>
        <w:pStyle w:val="ConsPlusNormal"/>
        <w:ind w:firstLine="540"/>
        <w:jc w:val="both"/>
      </w:pPr>
      <w:r w:rsidRPr="00020699">
        <w:t>а) предмет инвестиционного соглашения с описанием выполняемых работ в процессе реализации инвестиционного проекта с указанием этапов, сроков выполнения работ, характеристик работ и результатов работ;</w:t>
      </w:r>
    </w:p>
    <w:p w:rsidR="00BF7CAD" w:rsidRPr="00020699" w:rsidRDefault="00BF7CAD">
      <w:pPr>
        <w:pStyle w:val="ConsPlusNormal"/>
        <w:ind w:firstLine="540"/>
        <w:jc w:val="both"/>
      </w:pPr>
      <w:r w:rsidRPr="00020699">
        <w:t>б) общую стоимость работ по реализации инвестиционного проекта и объем средств, направляемых на реализацию инвестиционного проекта каждым из участников с разбивкой по источникам финансирования;</w:t>
      </w:r>
    </w:p>
    <w:p w:rsidR="00BF7CAD" w:rsidRPr="00020699" w:rsidRDefault="00BF7CAD">
      <w:pPr>
        <w:pStyle w:val="ConsPlusNormal"/>
        <w:ind w:firstLine="540"/>
        <w:jc w:val="both"/>
      </w:pPr>
      <w:r w:rsidRPr="00020699">
        <w:t>в) сроки реализации инвестиционного проекта;</w:t>
      </w:r>
    </w:p>
    <w:p w:rsidR="00BF7CAD" w:rsidRPr="00020699" w:rsidRDefault="00BF7CAD">
      <w:pPr>
        <w:pStyle w:val="ConsPlusNormal"/>
        <w:ind w:firstLine="540"/>
        <w:jc w:val="both"/>
      </w:pPr>
      <w:r w:rsidRPr="00020699">
        <w:t>г) план-график реализации инвестиционного проекта, основанный на принципе синхронизации действий участников инвестиционного проекта по финансированию и выполнению работ по инвестиционному проекту;</w:t>
      </w:r>
    </w:p>
    <w:p w:rsidR="00BF7CAD" w:rsidRPr="00020699" w:rsidRDefault="00BF7CAD">
      <w:pPr>
        <w:pStyle w:val="ConsPlusNormal"/>
        <w:ind w:firstLine="540"/>
        <w:jc w:val="both"/>
      </w:pPr>
      <w:r w:rsidRPr="00020699">
        <w:t>д) права и обязанности сторон инвестиционного соглашения;</w:t>
      </w:r>
    </w:p>
    <w:p w:rsidR="00BF7CAD" w:rsidRPr="00020699" w:rsidRDefault="00BF7CAD">
      <w:pPr>
        <w:pStyle w:val="ConsPlusNormal"/>
        <w:ind w:firstLine="540"/>
        <w:jc w:val="both"/>
      </w:pPr>
      <w:r w:rsidRPr="00020699">
        <w:t>е) порядок совместного управления реализацией инвестиционного проекта сторонами инвестиционного соглашения;</w:t>
      </w:r>
    </w:p>
    <w:p w:rsidR="00BF7CAD" w:rsidRPr="00020699" w:rsidRDefault="00BF7CAD">
      <w:pPr>
        <w:pStyle w:val="ConsPlusNormal"/>
        <w:ind w:firstLine="540"/>
        <w:jc w:val="both"/>
      </w:pPr>
      <w:r w:rsidRPr="00020699">
        <w:t>ж) сведения о правах на имущество, созданное в ходе реализации инвестиционного проекта;</w:t>
      </w:r>
    </w:p>
    <w:p w:rsidR="00BF7CAD" w:rsidRPr="00020699" w:rsidRDefault="00BF7CAD">
      <w:pPr>
        <w:pStyle w:val="ConsPlusNormal"/>
        <w:ind w:firstLine="540"/>
        <w:jc w:val="both"/>
      </w:pPr>
      <w:r w:rsidRPr="00020699">
        <w:t>з) условия, порядок и последствия расторжения инвестиционного соглашения и внесения в него изменений;</w:t>
      </w:r>
    </w:p>
    <w:p w:rsidR="00BF7CAD" w:rsidRPr="00020699" w:rsidRDefault="00BF7CAD">
      <w:pPr>
        <w:pStyle w:val="ConsPlusNormal"/>
        <w:ind w:firstLine="540"/>
        <w:jc w:val="both"/>
      </w:pPr>
      <w:r w:rsidRPr="00020699">
        <w:t>и) ответственность сторон за неисполнение или ненадлежащее исполнение обязательств, включая условие об ответственности сторон в случае нарушения своих обязательств по финансированию инвестиционного проекта на срок более 6 месяцев в виде уплаты процентов по ставке рефинансирования Центрального банка Российской Федерации за период задержки финансирования;</w:t>
      </w:r>
    </w:p>
    <w:p w:rsidR="00BF7CAD" w:rsidRPr="00020699" w:rsidRDefault="00BF7CAD">
      <w:pPr>
        <w:pStyle w:val="ConsPlusNormal"/>
        <w:ind w:firstLine="540"/>
        <w:jc w:val="both"/>
      </w:pPr>
      <w:r w:rsidRPr="00020699">
        <w:t>к) положения об обязательной проверке заключившим инвестиционное соглашение исполнительным органом государственной власти автономного округа соблюдения условий, целей и порядка предоставления бюджетных ассигнований инвестиционного фонда.</w:t>
      </w:r>
    </w:p>
    <w:p w:rsidR="00BF7CAD" w:rsidRPr="00020699" w:rsidRDefault="00BF7CAD">
      <w:pPr>
        <w:pStyle w:val="ConsPlusNormal"/>
      </w:pPr>
    </w:p>
    <w:p w:rsidR="00BF7CAD" w:rsidRPr="00020699" w:rsidRDefault="00BF7CAD">
      <w:pPr>
        <w:pStyle w:val="ConsPlusNormal"/>
        <w:jc w:val="center"/>
        <w:outlineLvl w:val="1"/>
      </w:pPr>
      <w:bookmarkStart w:id="41" w:name="Par188"/>
      <w:bookmarkEnd w:id="41"/>
      <w:r w:rsidRPr="00020699">
        <w:t>III. Заключительные положения</w:t>
      </w:r>
    </w:p>
    <w:p w:rsidR="00BF7CAD" w:rsidRPr="00020699" w:rsidRDefault="00BF7CAD">
      <w:pPr>
        <w:pStyle w:val="ConsPlusNormal"/>
      </w:pPr>
    </w:p>
    <w:p w:rsidR="00BF7CAD" w:rsidRPr="00020699" w:rsidRDefault="00BF7CAD">
      <w:pPr>
        <w:pStyle w:val="ConsPlusNormal"/>
        <w:ind w:firstLine="540"/>
        <w:jc w:val="both"/>
      </w:pPr>
      <w:r w:rsidRPr="00020699">
        <w:t>3.1. Инвестиционное соглашение, заключаемое в отношении инвестиционных проектов, претендующих на финансирование за счет средств инвестиционного фонда, должно соответствовать требованиям нормативных правовых актов Российской Федерации, устанавливающих порядок распределения и предоставления субсидий за счет бюджетных ассигнований Инвестиционного фонда Российской Федерации.</w:t>
      </w:r>
    </w:p>
    <w:p w:rsidR="00BF7CAD" w:rsidRPr="00020699" w:rsidRDefault="00BF7CAD">
      <w:pPr>
        <w:pStyle w:val="ConsPlusNormal"/>
        <w:ind w:firstLine="540"/>
        <w:jc w:val="both"/>
      </w:pPr>
      <w:r w:rsidRPr="00020699">
        <w:t>3.2. Стороны, участвующие в реализации инвестиционного проекта, совместно формируют и в порядке, установленном нормативными правовыми актами Российской Федерации, направляют заявку на предоставление за счет бюджетных ассигнований Инвестиционного фонда Российской Федерации бюджету автономного округа субсидии на реализацию инвестиционного проекта.</w:t>
      </w:r>
    </w:p>
    <w:p w:rsidR="00BF7CAD" w:rsidRPr="00020699" w:rsidRDefault="00BF7CAD">
      <w:pPr>
        <w:pStyle w:val="ConsPlusNormal"/>
        <w:ind w:firstLine="540"/>
        <w:jc w:val="both"/>
      </w:pPr>
      <w:r w:rsidRPr="00020699">
        <w:t>3.3. Участники инвестиционного проекта несут ответственность за его реализацию, целевое и эффективное использование бюджетных и внебюджетных средств и достижение результатов, указанных в инвестиционном соглашении в соответствии с решениями об отборе.</w:t>
      </w:r>
    </w:p>
    <w:p w:rsidR="00BF7CAD" w:rsidRPr="00020699" w:rsidRDefault="00BF7CAD">
      <w:pPr>
        <w:pStyle w:val="ConsPlusNormal"/>
        <w:ind w:firstLine="540"/>
        <w:jc w:val="both"/>
      </w:pPr>
      <w:r w:rsidRPr="00020699">
        <w:t xml:space="preserve">3.4. Инвестиционные проекты подлежат включению в установленном </w:t>
      </w:r>
      <w:hyperlink r:id="rId31" w:tooltip="Постановление Правительства ХМАО - Югры от 09.11.2012 N 438-п (ред. от 11.10.2013) &quot;О Порядке формирования Реестра приоритетных инвестиционных проектов Ханты-Мансийского автономного округа - Югры&quot; (с изм. и доп., вступающими в силу с 01.01.2014){КонсультантПлюс}" w:history="1">
        <w:r w:rsidRPr="00020699">
          <w:t>порядке</w:t>
        </w:r>
      </w:hyperlink>
      <w:r w:rsidRPr="00020699">
        <w:t xml:space="preserve"> в реестр приоритетных инвестиционных проектов Ханты-Мансийского автономного округа - Югры.</w:t>
      </w:r>
    </w:p>
    <w:p w:rsidR="00BF7CAD" w:rsidRPr="00020699" w:rsidRDefault="00BF7CAD">
      <w:pPr>
        <w:pStyle w:val="ConsPlusNormal"/>
      </w:pPr>
    </w:p>
    <w:p w:rsidR="00BF7CAD" w:rsidRPr="00020699" w:rsidRDefault="00BF7CAD">
      <w:pPr>
        <w:pStyle w:val="ConsPlusNormal"/>
        <w:jc w:val="right"/>
        <w:outlineLvl w:val="2"/>
      </w:pPr>
      <w:bookmarkStart w:id="42" w:name="Par195"/>
      <w:bookmarkEnd w:id="42"/>
      <w:r w:rsidRPr="00020699">
        <w:t>Таблица</w:t>
      </w:r>
    </w:p>
    <w:p w:rsidR="00BF7CAD" w:rsidRPr="00020699" w:rsidRDefault="00BF7CAD">
      <w:pPr>
        <w:pStyle w:val="ConsPlusNormal"/>
      </w:pPr>
    </w:p>
    <w:p w:rsidR="00BF7CAD" w:rsidRPr="00020699" w:rsidRDefault="00BF7CAD">
      <w:pPr>
        <w:pStyle w:val="ConsPlusNormal"/>
        <w:jc w:val="center"/>
      </w:pPr>
      <w:bookmarkStart w:id="43" w:name="Par197"/>
      <w:bookmarkEnd w:id="43"/>
      <w:r w:rsidRPr="00020699">
        <w:lastRenderedPageBreak/>
        <w:t>Расчет</w:t>
      </w:r>
    </w:p>
    <w:p w:rsidR="00BF7CAD" w:rsidRPr="00020699" w:rsidRDefault="00BF7CAD">
      <w:pPr>
        <w:pStyle w:val="ConsPlusNormal"/>
        <w:jc w:val="center"/>
      </w:pPr>
      <w:r w:rsidRPr="00020699">
        <w:t>суммы баллов по критериям отбора инвестиционных проектов</w:t>
      </w:r>
    </w:p>
    <w:p w:rsidR="00BF7CAD" w:rsidRPr="00020699" w:rsidRDefault="00BF7CAD">
      <w:pPr>
        <w:pStyle w:val="ConsPlusNormal"/>
      </w:pPr>
    </w:p>
    <w:tbl>
      <w:tblPr>
        <w:tblW w:w="0" w:type="auto"/>
        <w:tblInd w:w="62" w:type="dxa"/>
        <w:tblLayout w:type="fixed"/>
        <w:tblCellMar>
          <w:top w:w="75" w:type="dxa"/>
          <w:left w:w="0" w:type="dxa"/>
          <w:bottom w:w="75" w:type="dxa"/>
          <w:right w:w="0" w:type="dxa"/>
        </w:tblCellMar>
        <w:tblLook w:val="0000"/>
      </w:tblPr>
      <w:tblGrid>
        <w:gridCol w:w="660"/>
        <w:gridCol w:w="5386"/>
        <w:gridCol w:w="1815"/>
        <w:gridCol w:w="1814"/>
      </w:tblGrid>
      <w:tr w:rsidR="00020699" w:rsidRPr="0002069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N п/п</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Наименование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Показатели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Количество баллов</w:t>
            </w:r>
          </w:p>
        </w:tc>
      </w:tr>
      <w:tr w:rsidR="00020699" w:rsidRPr="0002069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w:t>
            </w:r>
          </w:p>
        </w:tc>
        <w:tc>
          <w:tcPr>
            <w:tcW w:w="5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r w:rsidRPr="00020699">
              <w:t>Соотношение стоимости инвестиционного проекта и запрашиваемого объема финансирования за счет бюджетных ассигнований инвестиционного фонда</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менее 2,1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2,1 - 2,5</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2,6 - 3</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3,1 - 3,5</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7</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3,6 - 4</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10</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более 4</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15</w:t>
            </w:r>
          </w:p>
        </w:tc>
      </w:tr>
      <w:tr w:rsidR="00020699" w:rsidRPr="0002069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w:t>
            </w:r>
          </w:p>
        </w:tc>
        <w:tc>
          <w:tcPr>
            <w:tcW w:w="5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r w:rsidRPr="00020699">
              <w:t>Соотношение прироста объема налоговых поступлений в бюджеты различных уровней бюджетной системы Российской Федерации в текущем финансовом году относительно предыдущего финансового года и запрашиваемого объема финансирования за счет бюджетных ассигнований инвестиционного фонда</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0 - 1</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1,1 - 2</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2,1 - 3</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3,1 - 4</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4,1 - 6</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5</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6,1 - 8</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6</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8,1 - 10</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7</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более 10</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8</w:t>
            </w:r>
          </w:p>
        </w:tc>
      </w:tr>
      <w:tr w:rsidR="00020699" w:rsidRPr="0002069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w:t>
            </w:r>
          </w:p>
        </w:tc>
        <w:tc>
          <w:tcPr>
            <w:tcW w:w="5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r w:rsidRPr="00020699">
              <w:t>Соотношение прогнозируемого прироста за пять лет с даты окончания срока реализации инвестиционного проекта объема налоговых поступлений в бюджеты различных уровней бюджетной системы Российской Федерации, обусловленных реализацией проекта и запрашиваемого объема финансирования за счет бюджетных ассигнований инвестиционного фонда</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0 - 4</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0</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4,1 - 6</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6,1 - 8</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8,1 - 10</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10,1 - 12</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12,1 - 14</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5</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14,1 - 16</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6</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более 16</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7</w:t>
            </w:r>
          </w:p>
        </w:tc>
      </w:tr>
      <w:tr w:rsidR="00020699" w:rsidRPr="0002069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w:t>
            </w:r>
          </w:p>
        </w:tc>
        <w:tc>
          <w:tcPr>
            <w:tcW w:w="5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r w:rsidRPr="00020699">
              <w:t>Количество высокопроизводительных рабочих мест, создаваемых в ходе реализации инвестиционного проекта (шт.)</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0 - 50</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0</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51 - 100</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101 - 200</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201 - 300</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301 - 400</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401 - 500</w:t>
            </w:r>
          </w:p>
        </w:tc>
        <w:tc>
          <w:tcPr>
            <w:tcW w:w="1814" w:type="dxa"/>
            <w:tcBorders>
              <w:left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5</w:t>
            </w:r>
          </w:p>
        </w:tc>
      </w:tr>
      <w:tr w:rsidR="00020699" w:rsidRPr="0002069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более 500</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6</w:t>
            </w:r>
          </w:p>
        </w:tc>
      </w:tr>
      <w:tr w:rsidR="00020699" w:rsidRPr="0002069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pPr>
            <w:r w:rsidRPr="00020699">
              <w:t>Реализация инвестиционного проекта в муниципальном образовании автономного округа, включенном в перечень моногородов, одобренный приказом Министерства регионального развития Российской Федерации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да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CAD" w:rsidRPr="00020699" w:rsidRDefault="00BF7CAD">
            <w:pPr>
              <w:pStyle w:val="ConsPlusNormal"/>
              <w:jc w:val="center"/>
            </w:pPr>
            <w:r w:rsidRPr="00020699">
              <w:t>1</w:t>
            </w:r>
          </w:p>
        </w:tc>
      </w:tr>
    </w:tbl>
    <w:p w:rsidR="00BF7CAD" w:rsidRPr="00020699" w:rsidRDefault="00BF7CAD">
      <w:pPr>
        <w:pStyle w:val="ConsPlusNormal"/>
      </w:pPr>
    </w:p>
    <w:p w:rsidR="00BF7CAD" w:rsidRPr="00020699" w:rsidRDefault="00BF7CAD">
      <w:pPr>
        <w:pStyle w:val="ConsPlusNormal"/>
      </w:pPr>
    </w:p>
    <w:p w:rsidR="00BF7CAD" w:rsidRDefault="00BF7CAD">
      <w:pPr>
        <w:pStyle w:val="ConsPlusNormal"/>
        <w:pBdr>
          <w:top w:val="single" w:sz="6" w:space="0" w:color="auto"/>
        </w:pBdr>
        <w:spacing w:before="100" w:after="100"/>
        <w:rPr>
          <w:sz w:val="2"/>
          <w:szCs w:val="2"/>
        </w:rPr>
      </w:pPr>
    </w:p>
    <w:sectPr w:rsidR="00BF7CAD">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E5B" w:rsidRDefault="00352E5B">
      <w:pPr>
        <w:spacing w:after="0" w:line="240" w:lineRule="auto"/>
      </w:pPr>
      <w:r>
        <w:separator/>
      </w:r>
    </w:p>
  </w:endnote>
  <w:endnote w:type="continuationSeparator" w:id="0">
    <w:p w:rsidR="00352E5B" w:rsidRDefault="00352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AD" w:rsidRDefault="00BF7CA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E5B" w:rsidRDefault="00352E5B">
      <w:pPr>
        <w:spacing w:after="0" w:line="240" w:lineRule="auto"/>
      </w:pPr>
      <w:r>
        <w:separator/>
      </w:r>
    </w:p>
  </w:footnote>
  <w:footnote w:type="continuationSeparator" w:id="0">
    <w:p w:rsidR="00352E5B" w:rsidRDefault="00352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CAD" w:rsidRPr="00020699" w:rsidRDefault="00BF7CAD" w:rsidP="00020699">
    <w:pPr>
      <w:pStyle w:val="a3"/>
    </w:pPr>
    <w:r w:rsidRPr="00020699">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20699"/>
    <w:rsid w:val="00020699"/>
    <w:rsid w:val="00352E5B"/>
    <w:rsid w:val="004E3215"/>
    <w:rsid w:val="00B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20699"/>
    <w:pPr>
      <w:tabs>
        <w:tab w:val="center" w:pos="4677"/>
        <w:tab w:val="right" w:pos="9355"/>
      </w:tabs>
    </w:pPr>
  </w:style>
  <w:style w:type="character" w:customStyle="1" w:styleId="a4">
    <w:name w:val="Верхний колонтитул Знак"/>
    <w:basedOn w:val="a0"/>
    <w:link w:val="a3"/>
    <w:uiPriority w:val="99"/>
    <w:locked/>
    <w:rsid w:val="00020699"/>
    <w:rPr>
      <w:rFonts w:cs="Times New Roman"/>
    </w:rPr>
  </w:style>
  <w:style w:type="paragraph" w:styleId="a5">
    <w:name w:val="footer"/>
    <w:basedOn w:val="a"/>
    <w:link w:val="a6"/>
    <w:uiPriority w:val="99"/>
    <w:unhideWhenUsed/>
    <w:rsid w:val="00020699"/>
    <w:pPr>
      <w:tabs>
        <w:tab w:val="center" w:pos="4677"/>
        <w:tab w:val="right" w:pos="9355"/>
      </w:tabs>
    </w:pPr>
  </w:style>
  <w:style w:type="character" w:customStyle="1" w:styleId="a6">
    <w:name w:val="Нижний колонтитул Знак"/>
    <w:basedOn w:val="a0"/>
    <w:link w:val="a5"/>
    <w:uiPriority w:val="99"/>
    <w:locked/>
    <w:rsid w:val="000206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0CDEF6AD500D09363C1B25EF27F1A6A124E8D67D384149C15CDF457D09923BB21F250D93A3EFD4497D7V8AFF" TargetMode="External"/><Relationship Id="rId13" Type="http://schemas.openxmlformats.org/officeDocument/2006/relationships/hyperlink" Target="consultantplus://offline/ref=623B6A32D03A6A8619F283F34FF481BD356C13216F33AEC6C7A171D6BFWCAAF" TargetMode="External"/><Relationship Id="rId18" Type="http://schemas.openxmlformats.org/officeDocument/2006/relationships/hyperlink" Target="consultantplus://offline/ref=623B6A32D03A6A8619F283F34FF481BD356D16206B3EAEC6C7A171D6BFCAD234369BEA9BA3A25E2FWEABF" TargetMode="External"/><Relationship Id="rId26" Type="http://schemas.openxmlformats.org/officeDocument/2006/relationships/hyperlink" Target="consultantplus://offline/ref=623B6A32D03A6A8619F29DFE5998D6B2326149256F37A5909FF67781E09AD46176DBECCEE3E25327E3412C38W9AAF" TargetMode="External"/><Relationship Id="rId3" Type="http://schemas.openxmlformats.org/officeDocument/2006/relationships/webSettings" Target="webSettings.xml"/><Relationship Id="rId21" Type="http://schemas.openxmlformats.org/officeDocument/2006/relationships/hyperlink" Target="consultantplus://offline/ref=623B6A32D03A6A8619F283F34FF481BD356C13216F33AEC6C7A171D6BFWCAAF" TargetMode="External"/><Relationship Id="rId34" Type="http://schemas.openxmlformats.org/officeDocument/2006/relationships/fontTable" Target="fontTable.xml"/><Relationship Id="rId7" Type="http://schemas.openxmlformats.org/officeDocument/2006/relationships/hyperlink" Target="consultantplus://offline/ref=6F00CDEF6AD500D09363DFBF489E28156D1F158369DA8F4AC54A96A900D99374FC6EAB109937V3AAF" TargetMode="External"/><Relationship Id="rId12" Type="http://schemas.openxmlformats.org/officeDocument/2006/relationships/hyperlink" Target="consultantplus://offline/ref=6F00CDEF6AD500D09363DFBF489E28156D1C168866D18F4AC54A96A900D99374FC6EAB129D373FFCV4A5F" TargetMode="External"/><Relationship Id="rId17" Type="http://schemas.openxmlformats.org/officeDocument/2006/relationships/hyperlink" Target="consultantplus://offline/ref=623B6A32D03A6A8619F283F34FF481BD356D16206B3EAEC6C7A171D6BFCAD234369BEA9BA0A65E23WEA3F" TargetMode="External"/><Relationship Id="rId25" Type="http://schemas.openxmlformats.org/officeDocument/2006/relationships/hyperlink" Target="consultantplus://offline/ref=623B6A32D03A6A8619F29DFE5998D6B2326149256F37A5909FF67781E09AD46176DBECCEE3E25327E3412C39W9A2F"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623B6A32D03A6A8619F29DFE5998D6B2326149256F37A5909FF67781E09AD46176DBECCEE3E25327E3412C38W9A4F" TargetMode="External"/><Relationship Id="rId20" Type="http://schemas.openxmlformats.org/officeDocument/2006/relationships/hyperlink" Target="consultantplus://offline/ref=623B6A32D03A6A8619F29DFE5998D6B2326149256732AD929CFE2A8BE8C3D863W7A1F" TargetMode="External"/><Relationship Id="rId29" Type="http://schemas.openxmlformats.org/officeDocument/2006/relationships/hyperlink" Target="consultantplus://offline/ref=623B6A32D03A6A8619F29DFE5998D6B2326149256F37A0929FF17781E09AD46176DBECCEE3E25327E3412C39W9A0F" TargetMode="External"/><Relationship Id="rId1" Type="http://schemas.openxmlformats.org/officeDocument/2006/relationships/styles" Target="styles.xml"/><Relationship Id="rId6" Type="http://schemas.openxmlformats.org/officeDocument/2006/relationships/hyperlink" Target="consultantplus://offline/ref=6F00CDEF6AD500D09363C1B25EF27F1A6A124E8D6FD3841C9D1D90FE5F899521BC2EAD47DE7332FC4497D58BV5AEF" TargetMode="External"/><Relationship Id="rId11" Type="http://schemas.openxmlformats.org/officeDocument/2006/relationships/hyperlink" Target="consultantplus://offline/ref=6F00CDEF6AD500D09363DFBF489E28156D1F158369DA8F4AC54A96A900D99374FC6EAB1B9CV3A1F" TargetMode="External"/><Relationship Id="rId24" Type="http://schemas.openxmlformats.org/officeDocument/2006/relationships/hyperlink" Target="consultantplus://offline/ref=623B6A32D03A6A8619F29DFE5998D6B2326149256F37A2909AF17781E09AD46176WDABF"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23B6A32D03A6A8619F283F34FF481BD3D6F1E286C3CF3CCCFF87DD4B8C58D2331D2E69AA0A65FW2A4F" TargetMode="External"/><Relationship Id="rId23" Type="http://schemas.openxmlformats.org/officeDocument/2006/relationships/hyperlink" Target="consultantplus://offline/ref=623B6A32D03A6A8619F283F34FF481BD3D6F1E286C3CF3CCCFF87DD4B8C58D2331D2E69AA0A65FW2A4F" TargetMode="External"/><Relationship Id="rId28" Type="http://schemas.openxmlformats.org/officeDocument/2006/relationships/hyperlink" Target="consultantplus://offline/ref=623B6A32D03A6A8619F29DFE5998D6B2326149256F37A5909FF67781E09AD46176DBECCEE3E25327E3412C39W9A0F" TargetMode="External"/><Relationship Id="rId10" Type="http://schemas.openxmlformats.org/officeDocument/2006/relationships/hyperlink" Target="consultantplus://offline/ref=6F00CDEF6AD500D09363DFBF489E28156D1F14896FD78F4AC54A96A900VDA9F" TargetMode="External"/><Relationship Id="rId19" Type="http://schemas.openxmlformats.org/officeDocument/2006/relationships/hyperlink" Target="consultantplus://offline/ref=623B6A32D03A6A8619F29DFE5998D6B232614925663FA5909BFE2A8BE8C3D86371D4B3D9E4AB5F26E34128W3A9F" TargetMode="External"/><Relationship Id="rId31" Type="http://schemas.openxmlformats.org/officeDocument/2006/relationships/hyperlink" Target="consultantplus://offline/ref=623B6A32D03A6A8619F29DFE5998D6B2326149256734A29598FE2A8BE8C3D86371D4B3D9E4AB5F26E3412DW3ACF" TargetMode="External"/><Relationship Id="rId4" Type="http://schemas.openxmlformats.org/officeDocument/2006/relationships/footnotes" Target="footnotes.xml"/><Relationship Id="rId9" Type="http://schemas.openxmlformats.org/officeDocument/2006/relationships/hyperlink" Target="consultantplus://offline/ref=6F00CDEF6AD500D09363C1B25EF27F1A6A124E8D6FD3841C9D1D90FE5F899521BC2EAD47DE7332FC4497D58BV5AEF" TargetMode="External"/><Relationship Id="rId14" Type="http://schemas.openxmlformats.org/officeDocument/2006/relationships/hyperlink" Target="consultantplus://offline/ref=623B6A32D03A6A8619F29DFE5998D6B2326149256737A5989EFE2A8BE8C3D863W7A1F" TargetMode="External"/><Relationship Id="rId22" Type="http://schemas.openxmlformats.org/officeDocument/2006/relationships/hyperlink" Target="consultantplus://offline/ref=623B6A32D03A6A8619F283F34FF481BD3D6F1E286C3CF3CCCFF87DD4B8C58D2331D2E69AA0A65FW2A4F" TargetMode="External"/><Relationship Id="rId27" Type="http://schemas.openxmlformats.org/officeDocument/2006/relationships/hyperlink" Target="consultantplus://offline/ref=623B6A32D03A6A8619F29DFE5998D6B2326149256F37A5909FF67781E09AD46176DBECCEE3E25327E3412C38W9ABF" TargetMode="External"/><Relationship Id="rId30" Type="http://schemas.openxmlformats.org/officeDocument/2006/relationships/hyperlink" Target="consultantplus://offline/ref=623B6A32D03A6A8619F29DFE5998D6B2326149256F37A0929FF17781E09AD46176DBECCEE3E25327E3412C39W9A0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7529</Words>
  <Characters>42919</Characters>
  <Application>Microsoft Office Word</Application>
  <DocSecurity>2</DocSecurity>
  <Lines>357</Lines>
  <Paragraphs>100</Paragraphs>
  <ScaleCrop>false</ScaleCrop>
  <Company/>
  <LinksUpToDate>false</LinksUpToDate>
  <CharactersWithSpaces>50348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27.12.2013 N 591-п(ред. от 29.05.2014)"О Порядке отбора инвестиционных проектов, осуществляемых на принципах государственно-частного партнерства, и использования бюджетных ассигнований инвестиционного фонда Ханты</dc:title>
  <dc:subject/>
  <dc:creator>ConsultantPlus</dc:creator>
  <cp:keywords/>
  <dc:description/>
  <cp:lastModifiedBy>Анна Вишневецкая</cp:lastModifiedBy>
  <cp:revision>2</cp:revision>
  <dcterms:created xsi:type="dcterms:W3CDTF">2017-12-05T14:14:00Z</dcterms:created>
  <dcterms:modified xsi:type="dcterms:W3CDTF">2017-12-05T14:14:00Z</dcterms:modified>
</cp:coreProperties>
</file>