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13D" w:rsidRPr="0060113D" w:rsidRDefault="0060113D" w:rsidP="0060113D">
      <w:pPr>
        <w:jc w:val="center"/>
        <w:rPr>
          <w:b/>
          <w:sz w:val="28"/>
          <w:szCs w:val="28"/>
        </w:rPr>
      </w:pPr>
      <w:r w:rsidRPr="0060113D">
        <w:rPr>
          <w:b/>
          <w:sz w:val="28"/>
          <w:szCs w:val="28"/>
        </w:rPr>
        <w:t>«Подключение (технологическое присоединение) к системам теплоснабжения, подключение (технологическое присоединение) к централизованным системам водоснабжения и водоотведения 2019-2021гг.»</w:t>
      </w:r>
    </w:p>
    <w:p w:rsidR="0060113D" w:rsidRPr="00F50718" w:rsidRDefault="0060113D" w:rsidP="0060113D">
      <w:pPr>
        <w:jc w:val="center"/>
        <w:rPr>
          <w:sz w:val="22"/>
        </w:rPr>
      </w:pPr>
    </w:p>
    <w:tbl>
      <w:tblPr>
        <w:tblW w:w="151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850"/>
        <w:gridCol w:w="5671"/>
        <w:gridCol w:w="1775"/>
      </w:tblGrid>
      <w:tr w:rsidR="0060113D" w:rsidRPr="00F50718" w:rsidTr="00DF5B1D">
        <w:trPr>
          <w:trHeight w:val="1118"/>
        </w:trPr>
        <w:tc>
          <w:tcPr>
            <w:tcW w:w="3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50718">
              <w:rPr>
                <w:b/>
                <w:sz w:val="22"/>
                <w:szCs w:val="22"/>
              </w:rPr>
              <w:t>Категория портфеля проектов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50718">
              <w:rPr>
                <w:b/>
                <w:sz w:val="22"/>
                <w:szCs w:val="22"/>
              </w:rPr>
              <w:t>Цель (цели) портфеля проектов</w:t>
            </w:r>
          </w:p>
        </w:tc>
        <w:tc>
          <w:tcPr>
            <w:tcW w:w="652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0113D" w:rsidRPr="00F50718" w:rsidRDefault="0060113D" w:rsidP="003148D9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50718">
              <w:rPr>
                <w:b/>
                <w:sz w:val="22"/>
                <w:szCs w:val="22"/>
              </w:rPr>
              <w:t>Наименование показателя</w:t>
            </w:r>
            <w:r w:rsidRPr="00F50718">
              <w:rPr>
                <w:sz w:val="22"/>
                <w:szCs w:val="22"/>
                <w:vertAlign w:val="superscript"/>
                <w:lang w:val="en-US"/>
              </w:rPr>
              <w:footnoteReference w:id="1"/>
            </w:r>
            <w:r w:rsidRPr="00F50718">
              <w:rPr>
                <w:b/>
                <w:sz w:val="22"/>
                <w:szCs w:val="22"/>
              </w:rPr>
              <w:t>, единицы измерения</w:t>
            </w:r>
          </w:p>
        </w:tc>
        <w:tc>
          <w:tcPr>
            <w:tcW w:w="1775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F50718">
              <w:rPr>
                <w:b/>
                <w:sz w:val="22"/>
                <w:szCs w:val="22"/>
              </w:rPr>
              <w:t xml:space="preserve">Целевое значение 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pStyle w:val="af3"/>
              <w:widowControl w:val="0"/>
              <w:ind w:left="0"/>
              <w:jc w:val="left"/>
              <w:rPr>
                <w:sz w:val="22"/>
                <w:szCs w:val="22"/>
                <w:lang w:val="ru-RU"/>
              </w:rPr>
            </w:pPr>
            <w:r w:rsidRPr="00F50718">
              <w:rPr>
                <w:sz w:val="22"/>
                <w:szCs w:val="22"/>
                <w:lang w:val="ru-RU"/>
              </w:rPr>
              <w:t xml:space="preserve">1. </w:t>
            </w:r>
            <w:r w:rsidRPr="00F50718">
              <w:rPr>
                <w:sz w:val="22"/>
                <w:szCs w:val="22"/>
                <w:lang w:val="ru-RU" w:eastAsia="ru-RU"/>
              </w:rPr>
              <w:t>Подготовка к заключению договора о подключении (технологическом присоединении) к системам теплоснабжения, договора о подключении (технологическом присоединении) к централизованной системе холодного водоснабжения и (или) водоотведения, договора о подключении (присоединении) к централизованной системе горячего водоснабжения.</w:t>
            </w:r>
          </w:p>
        </w:tc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1.1. Информационное обеспечение процесса подключения (технологического присоединения) на этапе до заключения договора о подключении (технологическом присоединении) к системам теплоснабжения, договора о подключении (технологическом присоединении) к централизованной системе холодного водоснабжения и (или) водоотведения, договора о подключении (технологическом присоединении) к централизованной системе горячего водоснабжения (далее – договор о подключении)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1.1.1.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Наличие в открытом доступе на сайте ресурсоснабжающих организаций информации о доступной мощности на источнике тепло-, водоснабжения,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1.1.2.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Наличие на сайтах органов местного самоуправления полного перечня ресурсоснабжающих организаций, осуществляющих на их территории подключение (технологическое присоединение), со ссылками на сайты данных организаций, где размещена информация о доступной мощности на источнике тепло-, водоснабжения,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1.1.3.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Наличие на сайте субъекта Российской Федерации или ресурсоснабжающих организаций информации об исчерпывающем перечне документов, подлежащих представлению для подготовки договора о подключении, с примером его заполнения,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1.1.4.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Наличие у ресурсоснабжающих организаций доступа к системе межведомственного электронного взаимодействия,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2019 г. – «-»</w:t>
            </w:r>
            <w:r w:rsidRPr="00F50718">
              <w:rPr>
                <w:rStyle w:val="afc"/>
                <w:sz w:val="22"/>
                <w:szCs w:val="22"/>
              </w:rPr>
              <w:footnoteReference w:id="2"/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«-»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1.1.5.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Наличие калькулятора на сайте ресурсоснабжающих организаций, позволяющего рассчитать ориентировочную плату за подключение (технологическое присоединение) исходя из требуемой нагрузки и/или протяженности сетей, требуемых для подключения (технологического присоединения),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</w:p>
        </w:tc>
        <w:tc>
          <w:tcPr>
            <w:tcW w:w="3402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 xml:space="preserve">1.2. Автоматизация процесса </w:t>
            </w:r>
            <w:r w:rsidRPr="00F50718">
              <w:rPr>
                <w:sz w:val="22"/>
                <w:szCs w:val="22"/>
              </w:rPr>
              <w:lastRenderedPageBreak/>
              <w:t>подключения (технологического присоединения)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lastRenderedPageBreak/>
              <w:t>1.2.1.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 xml:space="preserve">Срок предоставления сведений о технических условиях </w:t>
            </w:r>
            <w:r w:rsidRPr="00F50718">
              <w:rPr>
                <w:sz w:val="22"/>
                <w:szCs w:val="22"/>
              </w:rPr>
              <w:lastRenderedPageBreak/>
              <w:t>подключения (технологического присоединения) для подготовки ГПЗУ в уполномоченный орган,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lastRenderedPageBreak/>
              <w:t>2019 г. – 7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lastRenderedPageBreak/>
              <w:t>2020 г. – 5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1.3. Обеспечение взаимодействия уполномоченных органов и ресурсоснабжающих организаций при подготовке градостроительного плана земельного участка (далее – ГПЗУ)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1.3.1.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Доля ответов ресурсоснабжающих организаций, содержащих исчерпывающие сведения о технических условиях подключения (технологического присоединения), содержащихся в ГПЗУ, процентов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2019 г. – 100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100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1.3.2.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Наличие доступа в режиме просмотра для ресурсоснабжающих организаций в сфере теплоснабжения, водоснабжения и водоотведения к ГИСОГД (оценка данного показателя осуществляется только при наличии в субъекте Российской Федерации действующей ГИСОГД),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</w:p>
        </w:tc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1.4. Регламентация процедур подключения (технологического присоединения)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1.4.1.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jc w:val="both"/>
              <w:rPr>
                <w:sz w:val="20"/>
                <w:szCs w:val="20"/>
              </w:rPr>
            </w:pPr>
            <w:r w:rsidRPr="00F50718">
              <w:rPr>
                <w:sz w:val="22"/>
                <w:szCs w:val="22"/>
              </w:rPr>
              <w:t>Наличие на сайтах ресурсоснабжающих организаций, осуществляющих подключение (технологическое присоединение), утвержденного регулируемой организацией регламента подключения (технологического присоединения), отвечающего требованиям соответствующего стандарта раскрытия информации, утвержденного Правительством Российской Федерации в том числе: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489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1.4.2.</w:t>
            </w:r>
          </w:p>
        </w:tc>
        <w:tc>
          <w:tcPr>
            <w:tcW w:w="5671" w:type="dxa"/>
            <w:shd w:val="clear" w:color="auto" w:fill="FFFFFF"/>
          </w:tcPr>
          <w:p w:rsidR="0060113D" w:rsidRPr="0060113D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централизованной системе холодного водоснабжения,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1.4.</w:t>
            </w:r>
            <w:r w:rsidRPr="00F50718">
              <w:rPr>
                <w:sz w:val="22"/>
                <w:szCs w:val="22"/>
                <w:lang w:val="en-US"/>
              </w:rPr>
              <w:t>3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централизованной системе горячего водоснабжения,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1.4.</w:t>
            </w:r>
            <w:r w:rsidRPr="00F50718">
              <w:rPr>
                <w:sz w:val="22"/>
                <w:szCs w:val="22"/>
                <w:lang w:val="en-US"/>
              </w:rPr>
              <w:t>4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централизованной системе водоотведения,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1.4.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60113D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централизованной системе теплоснабжения,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 Обеспечение раскрытия информации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</w:t>
            </w:r>
            <w:r w:rsidRPr="00F50718">
              <w:rPr>
                <w:sz w:val="22"/>
                <w:szCs w:val="22"/>
                <w:lang w:val="en-US"/>
              </w:rPr>
              <w:t>1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Наличие на сайтах ресурсоснабжающих организаций актуальной (поквартальной) информации: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</w:t>
            </w:r>
            <w:r w:rsidRPr="00F50718">
              <w:rPr>
                <w:sz w:val="22"/>
                <w:szCs w:val="22"/>
                <w:lang w:val="en-US"/>
              </w:rPr>
              <w:t>2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О количестве поданных заявок о подключении (технологическом присоединении),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</w:t>
            </w:r>
            <w:r w:rsidRPr="00F50718">
              <w:rPr>
                <w:sz w:val="22"/>
                <w:szCs w:val="22"/>
                <w:lang w:val="en-US"/>
              </w:rPr>
              <w:t>3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О количестве исполненных заявок о подключении (технологическом присоединении),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</w:t>
            </w:r>
            <w:r w:rsidRPr="00F50718">
              <w:rPr>
                <w:sz w:val="22"/>
                <w:szCs w:val="22"/>
                <w:lang w:val="en-US"/>
              </w:rPr>
              <w:t>4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 xml:space="preserve">О количестве заявок о подключении (технологическом присоединении), по которым принято решение об отказе </w:t>
            </w:r>
            <w:r w:rsidRPr="00F50718">
              <w:rPr>
                <w:sz w:val="22"/>
                <w:szCs w:val="22"/>
              </w:rPr>
              <w:lastRenderedPageBreak/>
              <w:t>в подключении (технологическом присоединении) (с указанием причин),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lastRenderedPageBreak/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1.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</w:t>
            </w:r>
            <w:r w:rsidRPr="00F50718">
              <w:rPr>
                <w:sz w:val="22"/>
                <w:szCs w:val="22"/>
                <w:lang w:val="en-US"/>
              </w:rPr>
              <w:t>5</w:t>
            </w:r>
            <w:r w:rsidRPr="00F50718">
              <w:rPr>
                <w:sz w:val="22"/>
                <w:szCs w:val="22"/>
              </w:rPr>
              <w:t>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spacing w:line="276" w:lineRule="auto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О резерве мощности на источнике тепло-, водоснабжения,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 Заключение договора о подключении</w:t>
            </w:r>
          </w:p>
        </w:tc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2.1. Уровень обеспечения предоставления услуг в электронном виде.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2.1.1.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Доля заявок на подключение (технологическое присоединение), поданных в электронном виде, в общем количестве поданных заявок на подключение (технологическое присоединение), процентов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«-»</w:t>
            </w:r>
            <w:r w:rsidRPr="00F50718">
              <w:rPr>
                <w:rStyle w:val="afc"/>
                <w:sz w:val="22"/>
                <w:szCs w:val="22"/>
              </w:rPr>
              <w:footnoteReference w:id="3"/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«-»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2.1.2.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 xml:space="preserve">Наличие онлайн-сервиса с доступной и актуальной информацией о статусе исполнения заявки на подключение (технологическое присоединение), да/нет 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2.2. Подготовка договора о подключении.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2.2.1.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Срок подготовки и направления заявителю договора о подключении, рабочих дней, в том числе: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14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10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2.2.2.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централизованной системе водоснабжения и водоотведения (за исключением случаев, когда расчетом стоимости ведется по индивидуальному проекту),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14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14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2.2.3.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централизованной системе холодного водоснабжения и (или) водоотведения для субъектов малого предпринимательства (за исключением случаев, когда расчет стоимости ведется по индивидуальному проекту),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14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10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2.2.4.</w:t>
            </w:r>
          </w:p>
        </w:tc>
        <w:tc>
          <w:tcPr>
            <w:tcW w:w="5671" w:type="dxa"/>
            <w:shd w:val="clear" w:color="auto" w:fill="FFFFFF"/>
          </w:tcPr>
          <w:p w:rsidR="0060113D" w:rsidRPr="0060113D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централизованной системе горячего водоснабжения (за исключением случаев, когда расчет стоимости ведется по индивидуальному проекту),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14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>2020 г. – 1</w:t>
            </w:r>
            <w:r w:rsidRPr="00F50718">
              <w:rPr>
                <w:sz w:val="22"/>
                <w:szCs w:val="22"/>
                <w:lang w:val="en-US"/>
              </w:rPr>
              <w:t>4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2.2.5.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К системе теплоснабжения (за исключением случаев, когда расчет стоимости ведется по индивидуальному проекту),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 xml:space="preserve">2019 г. – </w:t>
            </w:r>
            <w:r w:rsidRPr="00F50718">
              <w:rPr>
                <w:sz w:val="22"/>
                <w:szCs w:val="22"/>
                <w:lang w:val="en-US"/>
              </w:rPr>
              <w:t>20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  <w:lang w:val="en-US"/>
              </w:rPr>
            </w:pPr>
            <w:r w:rsidRPr="00F50718">
              <w:rPr>
                <w:sz w:val="22"/>
                <w:szCs w:val="22"/>
              </w:rPr>
              <w:t xml:space="preserve">2020 г. – </w:t>
            </w:r>
            <w:r w:rsidRPr="00F50718">
              <w:rPr>
                <w:sz w:val="22"/>
                <w:szCs w:val="22"/>
                <w:lang w:val="en-US"/>
              </w:rPr>
              <w:t>20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2.3. Информационное обеспечение этапа заключения договора о подключении.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2.3.1.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Проведение технической комиссии по определению возможности подключения при участии заявителя с раскрытием информации о принятых мерах,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 xml:space="preserve">3. Обеспечение выполнения мероприятий по подключению (технологическому </w:t>
            </w:r>
            <w:r w:rsidRPr="00F50718">
              <w:rPr>
                <w:sz w:val="22"/>
                <w:szCs w:val="22"/>
              </w:rPr>
              <w:lastRenderedPageBreak/>
              <w:t>присоединению)</w:t>
            </w:r>
          </w:p>
        </w:tc>
        <w:tc>
          <w:tcPr>
            <w:tcW w:w="3402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lastRenderedPageBreak/>
              <w:t xml:space="preserve">3.1. Упрощение получения разрешения на строительство, разрешения на ввод в </w:t>
            </w:r>
            <w:r w:rsidRPr="00F50718">
              <w:rPr>
                <w:sz w:val="22"/>
                <w:szCs w:val="22"/>
              </w:rPr>
              <w:lastRenderedPageBreak/>
              <w:t>эксплуатацию сетей тепло-,  водоснабжения и водоотведения.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lastRenderedPageBreak/>
              <w:t>3.1.1.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 xml:space="preserve">Наличие законодательного акта Ханты-Мансийского автономного округа – Югры устанавливающего перечень случаев, при которых не требуется получение </w:t>
            </w:r>
            <w:r w:rsidRPr="00F50718">
              <w:rPr>
                <w:sz w:val="22"/>
                <w:szCs w:val="22"/>
              </w:rPr>
              <w:lastRenderedPageBreak/>
              <w:t>разрешения на строительство, разрешения на ввод в эксплуатацию сетей тепло-, водоснабжения и водоотведения,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lastRenderedPageBreak/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106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FFFFFF"/>
          </w:tcPr>
          <w:p w:rsidR="0060113D" w:rsidRPr="00F50718" w:rsidRDefault="0060113D" w:rsidP="00DF5B1D">
            <w:pPr>
              <w:widowControl w:val="0"/>
              <w:spacing w:line="276" w:lineRule="auto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3.2. Упрощение порядка оформления прав на земельные участки для размещения линейных</w:t>
            </w:r>
            <w:r w:rsidR="00DF5B1D">
              <w:rPr>
                <w:sz w:val="22"/>
                <w:szCs w:val="22"/>
              </w:rPr>
              <w:t xml:space="preserve"> объектов</w:t>
            </w:r>
            <w:bookmarkStart w:id="0" w:name="_GoBack"/>
            <w:bookmarkEnd w:id="0"/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3.2.1.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Наличие административного регламента предоставления государственной (муниципальной) услуги по установления публичного сервитута,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DF5B1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 w:val="restart"/>
            <w:shd w:val="clear" w:color="auto" w:fill="FFFFFF"/>
          </w:tcPr>
          <w:p w:rsidR="0060113D" w:rsidRPr="00F50718" w:rsidRDefault="0060113D" w:rsidP="003148D9">
            <w:pPr>
              <w:widowControl w:val="0"/>
              <w:spacing w:line="276" w:lineRule="auto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 Оптимизация процедур.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Наличие административного регламента предоставления государственной (муниципальной) услуги по выдаче разрешения на осуществление земляных работ (оценка данного показателя осуществляется только при наличии в Ханты-Мансийском автономном округе – Югре, муниципальном образовании такой процедуры),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3.3.2.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Срок предоставления государственной (муниципальной) услуги по выдаче разрешения на осуществление земляных работ (оценка данного показателя осуществляется только при наличии в субъекте Российской Федерации, муниципальном образовании такой процедуры),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13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10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3.3.3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Наличие административного регламента предоставления государственной (муниципальной) услуги по предоставлению заключения о соответствии проектной документации плану наземных и подземных коммуникаций (оценка данного показателя осуществляется только при наличии в Ханты-Мансийском автономном округе – Югре, муниципальном образовании такой процедуры),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3.3.4.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Срок предоставления государственной (муниципальной) услуги по предоставлению заключения о соответствии проектной документации плану наземных и подземных коммуникаций (оценка данного показателя осуществляется только при наличии в субъекте Российской Федерации, муниципальном образовании такой процедуры),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14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10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3.3.5.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 xml:space="preserve">Наличие возможности направления заявителю акта о готовности внутриплощадочных и внутридомовых сетей и оборудования подключаемого объекта капитального строительства к подаче тепловой энергии и </w:t>
            </w:r>
            <w:r w:rsidRPr="00F50718">
              <w:rPr>
                <w:sz w:val="22"/>
                <w:szCs w:val="22"/>
              </w:rPr>
              <w:lastRenderedPageBreak/>
              <w:t>теплоносителя, подписанного электронной подписью,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lastRenderedPageBreak/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3.3.6.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Наличие возможности направления заявителю акта о подключении (технологическом присоединении) объекта, акта разграничения балансовой принадлежности и эксплуатационной ответственности, подписанного электронной подписью,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3.3.7.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Срок выдачи заявителю акта об осуществлении подключения (технологического присоединения) к централизованной системе холодного водоснабжения и(или) водоотведения, акта об осуществлении подключения (технологического присоединения) к централизованной системе горячего водоснабжения и к системе теплоснабжения, рабочих дней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10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10</w:t>
            </w:r>
          </w:p>
          <w:p w:rsidR="0060113D" w:rsidRPr="00F50718" w:rsidRDefault="0060113D" w:rsidP="0060113D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  <w:tr w:rsidR="0060113D" w:rsidRPr="00F50718" w:rsidTr="00DF5B1D">
        <w:trPr>
          <w:trHeight w:val="284"/>
        </w:trPr>
        <w:tc>
          <w:tcPr>
            <w:tcW w:w="3402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4. Обеспечивающие факторы.</w:t>
            </w:r>
          </w:p>
        </w:tc>
        <w:tc>
          <w:tcPr>
            <w:tcW w:w="3402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spacing w:line="276" w:lineRule="auto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4.1. Утверждение (актуализация) схем тепло-, водоснабжения и водоотведения.</w:t>
            </w:r>
          </w:p>
        </w:tc>
        <w:tc>
          <w:tcPr>
            <w:tcW w:w="850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4.1.1.</w:t>
            </w:r>
          </w:p>
        </w:tc>
        <w:tc>
          <w:tcPr>
            <w:tcW w:w="5671" w:type="dxa"/>
            <w:shd w:val="clear" w:color="auto" w:fill="FFFFFF"/>
          </w:tcPr>
          <w:p w:rsidR="0060113D" w:rsidRPr="00F50718" w:rsidRDefault="0060113D" w:rsidP="003148D9">
            <w:pPr>
              <w:widowControl w:val="0"/>
              <w:contextualSpacing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Наличие утвержденных (актуализированных) схем тепло-, водоснабжения и водоотведения, да/нет</w:t>
            </w:r>
          </w:p>
        </w:tc>
        <w:tc>
          <w:tcPr>
            <w:tcW w:w="1775" w:type="dxa"/>
            <w:shd w:val="clear" w:color="auto" w:fill="FFFFFF"/>
            <w:vAlign w:val="center"/>
          </w:tcPr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2019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  <w:r w:rsidRPr="00F50718">
              <w:rPr>
                <w:sz w:val="22"/>
                <w:szCs w:val="22"/>
              </w:rPr>
              <w:t>2020 г. – да</w:t>
            </w:r>
          </w:p>
          <w:p w:rsidR="0060113D" w:rsidRPr="00F50718" w:rsidRDefault="0060113D" w:rsidP="003148D9">
            <w:pPr>
              <w:widowControl w:val="0"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60113D" w:rsidRDefault="0060113D" w:rsidP="0060113D"/>
    <w:sectPr w:rsidR="0060113D" w:rsidSect="00DF5B1D">
      <w:headerReference w:type="default" r:id="rId7"/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6F1" w:rsidRDefault="006136F1" w:rsidP="0060113D">
      <w:r>
        <w:separator/>
      </w:r>
    </w:p>
  </w:endnote>
  <w:endnote w:type="continuationSeparator" w:id="0">
    <w:p w:rsidR="006136F1" w:rsidRDefault="006136F1" w:rsidP="006011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fficinaSansC">
    <w:altName w:val="OfficinaSans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6F1" w:rsidRDefault="006136F1" w:rsidP="0060113D">
      <w:r>
        <w:separator/>
      </w:r>
    </w:p>
  </w:footnote>
  <w:footnote w:type="continuationSeparator" w:id="0">
    <w:p w:rsidR="006136F1" w:rsidRDefault="006136F1" w:rsidP="0060113D">
      <w:r>
        <w:continuationSeparator/>
      </w:r>
    </w:p>
  </w:footnote>
  <w:footnote w:id="1">
    <w:p w:rsidR="0060113D" w:rsidRPr="00170D20" w:rsidRDefault="0060113D" w:rsidP="0060113D">
      <w:pPr>
        <w:pStyle w:val="afa"/>
        <w:rPr>
          <w:rFonts w:ascii="Times New Roman" w:hAnsi="Times New Roman"/>
        </w:rPr>
      </w:pPr>
    </w:p>
  </w:footnote>
  <w:footnote w:id="2">
    <w:p w:rsidR="0060113D" w:rsidRDefault="0060113D" w:rsidP="0060113D">
      <w:pPr>
        <w:pStyle w:val="afa"/>
        <w:jc w:val="both"/>
      </w:pPr>
      <w:r>
        <w:rPr>
          <w:rStyle w:val="afc"/>
        </w:rPr>
        <w:footnoteRef/>
      </w:r>
      <w:r>
        <w:t xml:space="preserve"> </w:t>
      </w:r>
      <w:r w:rsidRPr="00D3289A">
        <w:rPr>
          <w:rFonts w:ascii="Times New Roman" w:hAnsi="Times New Roman"/>
        </w:rPr>
        <w:t>Целевое значение будет установлено по итогам реализации постановления Правительства Российской Федерации от 9 августа 2017 г. N 955 "Об установлении особенностей оказания услуг по подключению (технологическому присоединению) объектов капитального строительства к сетям инженерно-технического обеспечения в электронной форме на территории Московской области и гг. Москвы и Санкт-Петербурга в 2017 - 2018 годах".</w:t>
      </w:r>
    </w:p>
  </w:footnote>
  <w:footnote w:id="3">
    <w:p w:rsidR="0060113D" w:rsidRDefault="0060113D" w:rsidP="0060113D">
      <w:pPr>
        <w:pStyle w:val="afa"/>
      </w:pPr>
      <w:r>
        <w:rPr>
          <w:rStyle w:val="afc"/>
        </w:rPr>
        <w:footnoteRef/>
      </w:r>
      <w:r>
        <w:t xml:space="preserve"> </w:t>
      </w:r>
      <w:r w:rsidRPr="00D3289A">
        <w:rPr>
          <w:rFonts w:ascii="Times New Roman" w:hAnsi="Times New Roman"/>
        </w:rPr>
        <w:t>Целевое значение будет определено по итогам внедрения показателя в 20</w:t>
      </w:r>
      <w:r>
        <w:rPr>
          <w:rFonts w:ascii="Times New Roman" w:hAnsi="Times New Roman"/>
        </w:rPr>
        <w:t>21</w:t>
      </w:r>
      <w:r w:rsidRPr="00D3289A">
        <w:rPr>
          <w:rFonts w:ascii="Times New Roman" w:hAnsi="Times New Roman"/>
        </w:rPr>
        <w:t xml:space="preserve"> году.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13D" w:rsidRDefault="0060113D" w:rsidP="004A122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DF5B1D">
      <w:rPr>
        <w:noProof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21879"/>
    <w:multiLevelType w:val="hybridMultilevel"/>
    <w:tmpl w:val="FBD00034"/>
    <w:lvl w:ilvl="0" w:tplc="C396F8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55247"/>
    <w:multiLevelType w:val="hybridMultilevel"/>
    <w:tmpl w:val="10C25518"/>
    <w:lvl w:ilvl="0" w:tplc="24C4FBB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30A93"/>
    <w:multiLevelType w:val="hybridMultilevel"/>
    <w:tmpl w:val="B2F4C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E66462"/>
    <w:multiLevelType w:val="hybridMultilevel"/>
    <w:tmpl w:val="3A24076A"/>
    <w:lvl w:ilvl="0" w:tplc="EECCA540">
      <w:start w:val="8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33660"/>
    <w:multiLevelType w:val="hybridMultilevel"/>
    <w:tmpl w:val="CE948FE0"/>
    <w:lvl w:ilvl="0" w:tplc="E80A78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51C78"/>
    <w:multiLevelType w:val="multilevel"/>
    <w:tmpl w:val="B372A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2BBE5032"/>
    <w:multiLevelType w:val="hybridMultilevel"/>
    <w:tmpl w:val="8F52C042"/>
    <w:lvl w:ilvl="0" w:tplc="1C0A0F90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93F00"/>
    <w:multiLevelType w:val="hybridMultilevel"/>
    <w:tmpl w:val="D5F8105A"/>
    <w:lvl w:ilvl="0" w:tplc="9DC2A5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1D41C7"/>
    <w:multiLevelType w:val="hybridMultilevel"/>
    <w:tmpl w:val="177C2E80"/>
    <w:lvl w:ilvl="0" w:tplc="5F04B1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20174"/>
    <w:multiLevelType w:val="hybridMultilevel"/>
    <w:tmpl w:val="D74AB072"/>
    <w:lvl w:ilvl="0" w:tplc="802A40F8">
      <w:start w:val="2"/>
      <w:numFmt w:val="bullet"/>
      <w:lvlText w:val="-"/>
      <w:lvlJc w:val="left"/>
      <w:pPr>
        <w:ind w:left="75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3C3D2BDB"/>
    <w:multiLevelType w:val="multilevel"/>
    <w:tmpl w:val="B372A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41150F2F"/>
    <w:multiLevelType w:val="hybridMultilevel"/>
    <w:tmpl w:val="D5F8105A"/>
    <w:lvl w:ilvl="0" w:tplc="9DC2A5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B0E10"/>
    <w:multiLevelType w:val="hybridMultilevel"/>
    <w:tmpl w:val="456CC4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5657ED"/>
    <w:multiLevelType w:val="hybridMultilevel"/>
    <w:tmpl w:val="EEF6E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605D96"/>
    <w:multiLevelType w:val="hybridMultilevel"/>
    <w:tmpl w:val="D298B60E"/>
    <w:lvl w:ilvl="0" w:tplc="AAB2027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3960C0"/>
    <w:multiLevelType w:val="hybridMultilevel"/>
    <w:tmpl w:val="EFF888CE"/>
    <w:lvl w:ilvl="0" w:tplc="E0AEF8B4">
      <w:start w:val="1"/>
      <w:numFmt w:val="decimal"/>
      <w:pStyle w:val="3"/>
      <w:lvlText w:val="%1."/>
      <w:lvlJc w:val="left"/>
      <w:pPr>
        <w:tabs>
          <w:tab w:val="num" w:pos="1355"/>
        </w:tabs>
        <w:ind w:left="1355" w:hanging="36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691E66"/>
    <w:multiLevelType w:val="multilevel"/>
    <w:tmpl w:val="56544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69082BF7"/>
    <w:multiLevelType w:val="hybridMultilevel"/>
    <w:tmpl w:val="D298B60E"/>
    <w:lvl w:ilvl="0" w:tplc="AAB2027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413702"/>
    <w:multiLevelType w:val="hybridMultilevel"/>
    <w:tmpl w:val="EEF6E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7A58DA"/>
    <w:multiLevelType w:val="hybridMultilevel"/>
    <w:tmpl w:val="F5F6A01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71B87118"/>
    <w:multiLevelType w:val="multilevel"/>
    <w:tmpl w:val="B372A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731241F8"/>
    <w:multiLevelType w:val="hybridMultilevel"/>
    <w:tmpl w:val="41BA07D6"/>
    <w:lvl w:ilvl="0" w:tplc="ED8806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097FEB"/>
    <w:multiLevelType w:val="multilevel"/>
    <w:tmpl w:val="A46C3B0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."/>
      <w:lvlJc w:val="left"/>
      <w:pPr>
        <w:tabs>
          <w:tab w:val="num" w:pos="454"/>
        </w:tabs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680"/>
        </w:tabs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5"/>
  </w:num>
  <w:num w:numId="2">
    <w:abstractNumId w:val="22"/>
  </w:num>
  <w:num w:numId="3">
    <w:abstractNumId w:val="2"/>
  </w:num>
  <w:num w:numId="4">
    <w:abstractNumId w:val="19"/>
  </w:num>
  <w:num w:numId="5">
    <w:abstractNumId w:val="11"/>
  </w:num>
  <w:num w:numId="6">
    <w:abstractNumId w:val="8"/>
  </w:num>
  <w:num w:numId="7">
    <w:abstractNumId w:val="0"/>
  </w:num>
  <w:num w:numId="8">
    <w:abstractNumId w:val="14"/>
  </w:num>
  <w:num w:numId="9">
    <w:abstractNumId w:val="6"/>
  </w:num>
  <w:num w:numId="10">
    <w:abstractNumId w:val="5"/>
  </w:num>
  <w:num w:numId="11">
    <w:abstractNumId w:val="7"/>
  </w:num>
  <w:num w:numId="12">
    <w:abstractNumId w:val="4"/>
  </w:num>
  <w:num w:numId="13">
    <w:abstractNumId w:val="16"/>
  </w:num>
  <w:num w:numId="14">
    <w:abstractNumId w:val="1"/>
  </w:num>
  <w:num w:numId="15">
    <w:abstractNumId w:val="9"/>
  </w:num>
  <w:num w:numId="16">
    <w:abstractNumId w:val="12"/>
  </w:num>
  <w:num w:numId="17">
    <w:abstractNumId w:val="21"/>
  </w:num>
  <w:num w:numId="18">
    <w:abstractNumId w:val="3"/>
  </w:num>
  <w:num w:numId="19">
    <w:abstractNumId w:val="17"/>
  </w:num>
  <w:num w:numId="20">
    <w:abstractNumId w:val="18"/>
  </w:num>
  <w:num w:numId="21">
    <w:abstractNumId w:val="20"/>
  </w:num>
  <w:num w:numId="22">
    <w:abstractNumId w:val="10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13D"/>
    <w:rsid w:val="00587516"/>
    <w:rsid w:val="0060113D"/>
    <w:rsid w:val="006136F1"/>
    <w:rsid w:val="008B484E"/>
    <w:rsid w:val="009C3DB1"/>
    <w:rsid w:val="00B40545"/>
    <w:rsid w:val="00D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93E92"/>
  <w15:chartTrackingRefBased/>
  <w15:docId w15:val="{CEE2C8B5-286B-4F5C-888C-43E72DAFB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11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113D"/>
    <w:pPr>
      <w:keepNext/>
      <w:jc w:val="center"/>
      <w:outlineLvl w:val="0"/>
    </w:pPr>
    <w:rPr>
      <w:rFonts w:eastAsia="Arial Unicode MS"/>
      <w:b/>
      <w:sz w:val="20"/>
      <w:szCs w:val="20"/>
    </w:rPr>
  </w:style>
  <w:style w:type="paragraph" w:styleId="2">
    <w:name w:val="heading 2"/>
    <w:basedOn w:val="a"/>
    <w:next w:val="a"/>
    <w:link w:val="20"/>
    <w:uiPriority w:val="9"/>
    <w:qFormat/>
    <w:rsid w:val="0060113D"/>
    <w:pPr>
      <w:keepNext/>
      <w:ind w:right="21"/>
      <w:jc w:val="center"/>
      <w:outlineLvl w:val="1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60113D"/>
    <w:pPr>
      <w:keepNext/>
      <w:jc w:val="center"/>
      <w:outlineLvl w:val="3"/>
    </w:pPr>
    <w:rPr>
      <w:rFonts w:eastAsia="Arial Unicode MS"/>
      <w:b/>
      <w:sz w:val="1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113D"/>
    <w:rPr>
      <w:rFonts w:ascii="Times New Roman" w:eastAsia="Arial Unicode MS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0113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60113D"/>
    <w:rPr>
      <w:rFonts w:ascii="Times New Roman" w:eastAsia="Arial Unicode MS" w:hAnsi="Times New Roman" w:cs="Times New Roman"/>
      <w:b/>
      <w:sz w:val="16"/>
      <w:szCs w:val="20"/>
      <w:lang w:eastAsia="ru-RU"/>
    </w:rPr>
  </w:style>
  <w:style w:type="paragraph" w:styleId="a3">
    <w:name w:val="header"/>
    <w:basedOn w:val="a"/>
    <w:link w:val="a4"/>
    <w:uiPriority w:val="99"/>
    <w:rsid w:val="006011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011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60113D"/>
    <w:pPr>
      <w:spacing w:line="360" w:lineRule="auto"/>
      <w:jc w:val="both"/>
    </w:pPr>
    <w:rPr>
      <w:sz w:val="28"/>
      <w:szCs w:val="20"/>
    </w:rPr>
  </w:style>
  <w:style w:type="character" w:customStyle="1" w:styleId="a6">
    <w:name w:val="Основной текст Знак"/>
    <w:basedOn w:val="a0"/>
    <w:link w:val="a5"/>
    <w:semiHidden/>
    <w:rsid w:val="0060113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semiHidden/>
    <w:rsid w:val="0060113D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rsid w:val="0060113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semiHidden/>
    <w:rsid w:val="0060113D"/>
  </w:style>
  <w:style w:type="paragraph" w:styleId="aa">
    <w:name w:val="caption"/>
    <w:basedOn w:val="a"/>
    <w:qFormat/>
    <w:rsid w:val="0060113D"/>
    <w:pPr>
      <w:jc w:val="center"/>
    </w:pPr>
    <w:rPr>
      <w:sz w:val="28"/>
      <w:szCs w:val="20"/>
    </w:rPr>
  </w:style>
  <w:style w:type="paragraph" w:styleId="21">
    <w:name w:val="Body Text 2"/>
    <w:basedOn w:val="a"/>
    <w:link w:val="22"/>
    <w:semiHidden/>
    <w:rsid w:val="0060113D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semiHidden/>
    <w:rsid w:val="0060113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60113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Subtitle"/>
    <w:basedOn w:val="a"/>
    <w:link w:val="ad"/>
    <w:qFormat/>
    <w:rsid w:val="0060113D"/>
    <w:pPr>
      <w:jc w:val="center"/>
    </w:pPr>
    <w:rPr>
      <w:b/>
      <w:sz w:val="28"/>
      <w:szCs w:val="20"/>
    </w:rPr>
  </w:style>
  <w:style w:type="character" w:customStyle="1" w:styleId="ad">
    <w:name w:val="Подзаголовок Знак"/>
    <w:basedOn w:val="a0"/>
    <w:link w:val="ac"/>
    <w:rsid w:val="0060113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">
    <w:name w:val="ConsPlusTitle"/>
    <w:rsid w:val="0060113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0113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6011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0113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11">
    <w:name w:val="toc 1"/>
    <w:basedOn w:val="a"/>
    <w:next w:val="a"/>
    <w:autoRedefine/>
    <w:uiPriority w:val="39"/>
    <w:rsid w:val="0060113D"/>
    <w:pPr>
      <w:tabs>
        <w:tab w:val="right" w:leader="dot" w:pos="6521"/>
      </w:tabs>
      <w:ind w:right="111"/>
      <w:jc w:val="center"/>
      <w:outlineLvl w:val="0"/>
    </w:pPr>
    <w:rPr>
      <w:noProof/>
    </w:rPr>
  </w:style>
  <w:style w:type="paragraph" w:styleId="af0">
    <w:name w:val="Normal (Web)"/>
    <w:basedOn w:val="a"/>
    <w:uiPriority w:val="99"/>
    <w:unhideWhenUsed/>
    <w:rsid w:val="0060113D"/>
    <w:pPr>
      <w:spacing w:before="100" w:beforeAutospacing="1" w:after="100" w:afterAutospacing="1"/>
    </w:pPr>
  </w:style>
  <w:style w:type="character" w:customStyle="1" w:styleId="titlerazdel">
    <w:name w:val="title_razdel"/>
    <w:rsid w:val="0060113D"/>
  </w:style>
  <w:style w:type="character" w:styleId="af1">
    <w:name w:val="Hyperlink"/>
    <w:uiPriority w:val="99"/>
    <w:unhideWhenUsed/>
    <w:rsid w:val="0060113D"/>
    <w:rPr>
      <w:color w:val="0000FF"/>
      <w:u w:val="single"/>
    </w:rPr>
  </w:style>
  <w:style w:type="paragraph" w:styleId="af2">
    <w:name w:val="No Spacing"/>
    <w:uiPriority w:val="1"/>
    <w:qFormat/>
    <w:rsid w:val="006011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3">
    <w:name w:val="Body Text Indent 2"/>
    <w:basedOn w:val="a"/>
    <w:link w:val="24"/>
    <w:uiPriority w:val="99"/>
    <w:unhideWhenUsed/>
    <w:rsid w:val="0060113D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6011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link w:val="af4"/>
    <w:uiPriority w:val="34"/>
    <w:qFormat/>
    <w:rsid w:val="0060113D"/>
    <w:pPr>
      <w:spacing w:before="120"/>
      <w:ind w:left="720"/>
      <w:contextualSpacing/>
      <w:jc w:val="both"/>
    </w:pPr>
    <w:rPr>
      <w:sz w:val="28"/>
      <w:lang w:val="x-none" w:eastAsia="x-none"/>
    </w:rPr>
  </w:style>
  <w:style w:type="character" w:styleId="af5">
    <w:name w:val="annotation reference"/>
    <w:uiPriority w:val="99"/>
    <w:unhideWhenUsed/>
    <w:rsid w:val="0060113D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60113D"/>
    <w:pPr>
      <w:spacing w:before="120"/>
      <w:jc w:val="both"/>
    </w:pPr>
    <w:rPr>
      <w:sz w:val="28"/>
      <w:szCs w:val="20"/>
      <w:lang w:val="x-none" w:eastAsia="x-none"/>
    </w:rPr>
  </w:style>
  <w:style w:type="character" w:customStyle="1" w:styleId="af7">
    <w:name w:val="Текст примечания Знак"/>
    <w:basedOn w:val="a0"/>
    <w:link w:val="af6"/>
    <w:uiPriority w:val="99"/>
    <w:rsid w:val="0060113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4">
    <w:name w:val="Абзац списка Знак"/>
    <w:link w:val="af3"/>
    <w:uiPriority w:val="34"/>
    <w:locked/>
    <w:rsid w:val="0060113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60113D"/>
    <w:pPr>
      <w:spacing w:before="0"/>
      <w:jc w:val="left"/>
    </w:pPr>
    <w:rPr>
      <w:b/>
      <w:bCs/>
      <w:sz w:val="20"/>
      <w:lang w:val="ru-RU" w:eastAsia="ru-RU"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60113D"/>
    <w:rPr>
      <w:rFonts w:ascii="Times New Roman" w:eastAsia="Times New Roman" w:hAnsi="Times New Roman" w:cs="Times New Roman"/>
      <w:b/>
      <w:bCs/>
      <w:sz w:val="20"/>
      <w:szCs w:val="20"/>
      <w:lang w:val="x-none" w:eastAsia="ru-RU"/>
    </w:rPr>
  </w:style>
  <w:style w:type="paragraph" w:styleId="afa">
    <w:name w:val="footnote text"/>
    <w:basedOn w:val="a"/>
    <w:link w:val="afb"/>
    <w:uiPriority w:val="99"/>
    <w:unhideWhenUsed/>
    <w:rsid w:val="0060113D"/>
    <w:rPr>
      <w:rFonts w:ascii="Calibri" w:eastAsia="Calibri" w:hAnsi="Calibri"/>
      <w:sz w:val="20"/>
      <w:szCs w:val="20"/>
      <w:lang w:eastAsia="en-US"/>
    </w:rPr>
  </w:style>
  <w:style w:type="character" w:customStyle="1" w:styleId="afb">
    <w:name w:val="Текст сноски Знак"/>
    <w:basedOn w:val="a0"/>
    <w:link w:val="afa"/>
    <w:uiPriority w:val="99"/>
    <w:rsid w:val="0060113D"/>
    <w:rPr>
      <w:rFonts w:ascii="Calibri" w:eastAsia="Calibri" w:hAnsi="Calibri" w:cs="Times New Roman"/>
      <w:sz w:val="20"/>
      <w:szCs w:val="20"/>
    </w:rPr>
  </w:style>
  <w:style w:type="character" w:styleId="afc">
    <w:name w:val="footnote reference"/>
    <w:unhideWhenUsed/>
    <w:rsid w:val="0060113D"/>
    <w:rPr>
      <w:vertAlign w:val="superscript"/>
    </w:rPr>
  </w:style>
  <w:style w:type="paragraph" w:customStyle="1" w:styleId="3">
    <w:name w:val="Список Н3"/>
    <w:rsid w:val="0060113D"/>
    <w:pPr>
      <w:numPr>
        <w:numId w:val="1"/>
      </w:numPr>
      <w:tabs>
        <w:tab w:val="clear" w:pos="1355"/>
        <w:tab w:val="left" w:pos="1797"/>
      </w:tabs>
      <w:spacing w:after="0" w:line="36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d">
    <w:name w:val="Revision"/>
    <w:hidden/>
    <w:uiPriority w:val="99"/>
    <w:semiHidden/>
    <w:rsid w:val="006011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2">
    <w:name w:val="Сетка таблицы1"/>
    <w:basedOn w:val="a1"/>
    <w:next w:val="ab"/>
    <w:uiPriority w:val="59"/>
    <w:rsid w:val="006011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b"/>
    <w:uiPriority w:val="59"/>
    <w:rsid w:val="006011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0">
    <w:name w:val="Сетка таблицы3"/>
    <w:basedOn w:val="a1"/>
    <w:next w:val="ab"/>
    <w:uiPriority w:val="39"/>
    <w:rsid w:val="0060113D"/>
    <w:pPr>
      <w:spacing w:after="0" w:line="240" w:lineRule="auto"/>
    </w:pPr>
    <w:rPr>
      <w:rFonts w:ascii="Calibri" w:eastAsia="Calibri" w:hAnsi="Calibri" w:cs="Times New Roman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0113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Page">
    <w:name w:val="ConsPlusTitlePage"/>
    <w:rsid w:val="0060113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30">
    <w:name w:val="A3"/>
    <w:uiPriority w:val="99"/>
    <w:rsid w:val="0060113D"/>
    <w:rPr>
      <w:rFonts w:cs="OfficinaSansC"/>
      <w:b/>
      <w:bCs/>
      <w:color w:val="000000"/>
      <w:sz w:val="28"/>
      <w:szCs w:val="28"/>
    </w:rPr>
  </w:style>
  <w:style w:type="character" w:styleId="afe">
    <w:name w:val="FollowedHyperlink"/>
    <w:uiPriority w:val="99"/>
    <w:semiHidden/>
    <w:unhideWhenUsed/>
    <w:rsid w:val="0060113D"/>
    <w:rPr>
      <w:color w:val="954F72"/>
      <w:u w:val="single"/>
    </w:rPr>
  </w:style>
  <w:style w:type="character" w:customStyle="1" w:styleId="apple-converted-space">
    <w:name w:val="apple-converted-space"/>
    <w:rsid w:val="0060113D"/>
  </w:style>
  <w:style w:type="numbering" w:customStyle="1" w:styleId="13">
    <w:name w:val="Нет списка1"/>
    <w:next w:val="a2"/>
    <w:uiPriority w:val="99"/>
    <w:semiHidden/>
    <w:unhideWhenUsed/>
    <w:rsid w:val="0060113D"/>
  </w:style>
  <w:style w:type="paragraph" w:customStyle="1" w:styleId="G">
    <w:name w:val="G_Текст"/>
    <w:basedOn w:val="a"/>
    <w:link w:val="G0"/>
    <w:qFormat/>
    <w:rsid w:val="0060113D"/>
    <w:pPr>
      <w:spacing w:after="120" w:line="312" w:lineRule="auto"/>
      <w:ind w:firstLine="851"/>
      <w:jc w:val="both"/>
    </w:pPr>
    <w:rPr>
      <w:szCs w:val="20"/>
      <w:lang w:val="x-none"/>
    </w:rPr>
  </w:style>
  <w:style w:type="character" w:customStyle="1" w:styleId="G0">
    <w:name w:val="G_Текст Знак"/>
    <w:link w:val="G"/>
    <w:rsid w:val="0060113D"/>
    <w:rPr>
      <w:rFonts w:ascii="Times New Roman" w:eastAsia="Times New Roman" w:hAnsi="Times New Roman" w:cs="Times New Roman"/>
      <w:sz w:val="24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Коплик Алексей Юрьевич</dc:creator>
  <cp:keywords/>
  <dc:description/>
  <cp:lastModifiedBy>Досманова Елена Юозовна</cp:lastModifiedBy>
  <cp:revision>3</cp:revision>
  <dcterms:created xsi:type="dcterms:W3CDTF">2020-10-19T07:27:00Z</dcterms:created>
  <dcterms:modified xsi:type="dcterms:W3CDTF">2020-10-20T06:24:00Z</dcterms:modified>
</cp:coreProperties>
</file>