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FA51DB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FA51DB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FA51DB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FA51DB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FA51DB" w:rsidRDefault="0079073E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FA51DB">
        <w:rPr>
          <w:b w:val="0"/>
          <w:bCs w:val="0"/>
          <w:sz w:val="28"/>
          <w:szCs w:val="28"/>
        </w:rPr>
        <w:t>1</w:t>
      </w:r>
      <w:r w:rsidR="00F0575B" w:rsidRPr="00FA51DB">
        <w:rPr>
          <w:b w:val="0"/>
          <w:bCs w:val="0"/>
          <w:sz w:val="28"/>
          <w:szCs w:val="28"/>
        </w:rPr>
        <w:t>8</w:t>
      </w:r>
      <w:r w:rsidR="00547B52" w:rsidRPr="00FA51DB">
        <w:rPr>
          <w:b w:val="0"/>
          <w:bCs w:val="0"/>
          <w:sz w:val="28"/>
          <w:szCs w:val="28"/>
        </w:rPr>
        <w:t xml:space="preserve"> июля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547B52" w:rsidRPr="00FA51DB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FA51DB" w:rsidRPr="00FA51DB" w:rsidRDefault="00694A20" w:rsidP="00905883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  <w:hyperlink r:id="rId7" w:history="1">
        <w:r w:rsidR="00FA51DB" w:rsidRPr="00FA51DB">
          <w:rPr>
            <w:rStyle w:val="a4"/>
            <w:color w:val="auto"/>
            <w:sz w:val="28"/>
            <w:szCs w:val="28"/>
            <w:u w:val="none"/>
          </w:rPr>
          <w:t>https://telemost.yandex.ru/j/75731474086497</w:t>
        </w:r>
      </w:hyperlink>
    </w:p>
    <w:p w:rsidR="00547B52" w:rsidRPr="00FA51DB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FA51DB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547B52" w:rsidRPr="00FA51DB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FA51DB">
        <w:rPr>
          <w:b w:val="0"/>
          <w:bCs w:val="0"/>
          <w:sz w:val="28"/>
          <w:szCs w:val="28"/>
        </w:rPr>
        <w:t>на электронную почту: ORN.r8602@tax.gov.</w:t>
      </w:r>
    </w:p>
    <w:p w:rsidR="00547B52" w:rsidRPr="00FA51DB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905883">
        <w:rPr>
          <w:bCs w:val="0"/>
          <w:sz w:val="28"/>
          <w:szCs w:val="28"/>
        </w:rPr>
        <w:t>Обновилась форма уведомления о выборе налогового органа для постановки на учет российской организации в пределах муниципального образования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Внесены изменения в форму уведомления о выборе налогового органа для постановки на учет российской организации по месту нахождения одного из ее обособленных подразделений, находящихся в одном муниципальном образовании, городах федерального значения Москве, Санкт-Петербурге и Севастополе на территориях, подведомственных разным налоговым органам.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В новой форме исключены лишние поля для определения условий выбора налогового органа и избыточные сведения об обособленном подразделении.</w:t>
      </w:r>
    </w:p>
    <w:p w:rsidR="00905883" w:rsidRDefault="00694A20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8" w:tgtFrame="_blank" w:history="1">
        <w:r w:rsidR="00905883" w:rsidRPr="00905883">
          <w:rPr>
            <w:rStyle w:val="a4"/>
            <w:color w:val="auto"/>
            <w:sz w:val="28"/>
            <w:szCs w:val="28"/>
          </w:rPr>
          <w:t>Приказ ФНС России от 15 апреля 2024 года № ЕД-7-14/306@</w:t>
        </w:r>
      </w:hyperlink>
      <w:r w:rsidR="00905883" w:rsidRPr="00905883">
        <w:rPr>
          <w:sz w:val="28"/>
          <w:szCs w:val="28"/>
        </w:rPr>
        <w:t> зарегистрирован Минюстом России и вступает в силу с 1 января 2025 года.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AC6CCC" w:rsidRPr="00905883" w:rsidRDefault="00AC6CCC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905883">
        <w:rPr>
          <w:bCs w:val="0"/>
          <w:sz w:val="28"/>
          <w:szCs w:val="28"/>
        </w:rPr>
        <w:t>Утверждены три новых справочника для налогового мониторинга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Утверждены три новых справочника для налогового мониторинга - Справочник этапов бизнес-процесса (СЭБП), Справочник видов транспорта и транспортировки товаров (СВТТ) и Справочник видов полезных ископаемых (СВПИ).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Опубликованы соответствующие приказы ФНС России № ЕА-7-23/535@, № ЕА-7-23/536@ и № ЕА-7-23/537@.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 xml:space="preserve">Данные справочники разработаны для автоматизации и стандартизации представляемой организациями информации об этапах бизнес-процессов и производственно-логистических цепочках. Справочники используются в </w:t>
      </w:r>
      <w:r w:rsidRPr="00905883">
        <w:rPr>
          <w:sz w:val="28"/>
          <w:szCs w:val="28"/>
        </w:rPr>
        <w:lastRenderedPageBreak/>
        <w:t>АИС «Налог-3» и информационных системах налогоплательщиков, к которым предоставлен доступ налоговому органу.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В СЭБП классифицируются этапы бизнес-процессов в производственной деятельности для передачи сведений о производственно-логистических цепочках, цепочках по оказанию услуг или выполнению работ внутри группы компаний. СВТТ предназначен для передачи данных о видах транспорта и транспортировки товаров, используемых при перемещении полезных ископаемых, продуктов переработки, готовой продукции. В СВПИ описаны виды полезных ископаемых, применяемые в производственной деятельности.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Ознакомиться с порядком их ведения можно на </w:t>
      </w:r>
      <w:hyperlink r:id="rId9" w:tgtFrame="blank" w:history="1">
        <w:r w:rsidRPr="00905883">
          <w:rPr>
            <w:rStyle w:val="a4"/>
            <w:color w:val="auto"/>
            <w:sz w:val="28"/>
            <w:szCs w:val="28"/>
            <w:u w:val="none"/>
          </w:rPr>
          <w:t>официальном сайте ФНС России</w:t>
        </w:r>
      </w:hyperlink>
      <w:r w:rsidRPr="00905883">
        <w:rPr>
          <w:sz w:val="28"/>
          <w:szCs w:val="28"/>
        </w:rPr>
        <w:t>.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905883">
        <w:rPr>
          <w:bCs w:val="0"/>
          <w:sz w:val="28"/>
          <w:szCs w:val="28"/>
        </w:rPr>
        <w:t>ФНС обновила реестр МСП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Федеральная налоговая служба сформировала </w:t>
      </w:r>
      <w:hyperlink r:id="rId10" w:tgtFrame="blank" w:history="1">
        <w:r w:rsidRPr="00905883">
          <w:rPr>
            <w:rStyle w:val="a4"/>
            <w:color w:val="auto"/>
            <w:sz w:val="28"/>
            <w:szCs w:val="28"/>
            <w:u w:val="none"/>
          </w:rPr>
          <w:t>Единый реестр субъектов малого и среднего предпринимательства</w:t>
        </w:r>
      </w:hyperlink>
      <w:r w:rsidRPr="00905883">
        <w:rPr>
          <w:sz w:val="28"/>
          <w:szCs w:val="28"/>
        </w:rPr>
        <w:t> на основе сведений о доходах и среднесписочной численности работников компаний и индивидуальных предпринимателей за 2023 год, данных Единого государственного реестра юридических лиц, Единого государственного реестра индивидуальных предпринимателей и информации от других государственных органов и уполномоченных организаций.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В обновленном реестре 6,2 млн субъектов малого и среднего предпринимательства, что на 262 тыс. субъектов МСП (или на 4,4%) больше, чем в реестре МСП от 10.07.2023.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Соотношение количества субъектов МСП к общему количеству действующих юридических лиц и индивидуальных предпринимателей составляет 80,8%.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За шесть месяцев 2024 года к сведениям </w:t>
      </w:r>
      <w:hyperlink r:id="rId11" w:tgtFrame="blank" w:history="1">
        <w:r w:rsidRPr="00905883">
          <w:rPr>
            <w:rStyle w:val="a4"/>
            <w:color w:val="auto"/>
            <w:sz w:val="28"/>
            <w:szCs w:val="28"/>
            <w:u w:val="none"/>
          </w:rPr>
          <w:t>Единого реестра субъектов МСП</w:t>
        </w:r>
      </w:hyperlink>
      <w:r w:rsidRPr="00905883">
        <w:rPr>
          <w:sz w:val="28"/>
          <w:szCs w:val="28"/>
        </w:rPr>
        <w:t> зафиксировано 69 млн обращений. Использование реестра МСП помогает государству эффективнее поддерживать малый и средний бизнес, а компаниям и предпринимателям – выбирать надежных контрагентов.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Создание комфортных условий для развития малого и среднего бизнеса является одним из направлений национального проекта «Малое и среднее предпринимательство и поддержка индивидуального предпринимательской инициативы».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AC6CCC" w:rsidRDefault="00AC6CCC" w:rsidP="00AC6CCC">
      <w:pPr>
        <w:pStyle w:val="a3"/>
        <w:spacing w:before="0" w:beforeAutospacing="0" w:after="0" w:afterAutospacing="0"/>
        <w:jc w:val="right"/>
        <w:rPr>
          <w:rStyle w:val="a6"/>
          <w:sz w:val="16"/>
          <w:szCs w:val="16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694A20" w:rsidRPr="00905883" w:rsidRDefault="00694A20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905883">
        <w:rPr>
          <w:bCs w:val="0"/>
          <w:sz w:val="28"/>
          <w:szCs w:val="28"/>
        </w:rPr>
        <w:t>НДФЛ с доходов за 2023 год необходимо уплатить не позднее 15 июля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 xml:space="preserve">15 июля – последний день уплаты НДФЛ за 2023 год. Речь идет о тех гражданах, кто был обязан представить налоговую декларацию 3-НДФЛ за 2023 год до 2 мая 2024 года с исчисленной суммой налога к уплате в ней. Кто </w:t>
      </w:r>
      <w:r w:rsidRPr="00905883">
        <w:rPr>
          <w:sz w:val="28"/>
          <w:szCs w:val="28"/>
        </w:rPr>
        <w:lastRenderedPageBreak/>
        <w:t>обязан отчитаться о доходах за 2023 год, можно узнать в </w:t>
      </w:r>
      <w:hyperlink r:id="rId12" w:tgtFrame="_blank" w:history="1">
        <w:r w:rsidRPr="00905883">
          <w:rPr>
            <w:rStyle w:val="a4"/>
            <w:color w:val="auto"/>
            <w:sz w:val="28"/>
            <w:szCs w:val="28"/>
            <w:u w:val="none"/>
          </w:rPr>
          <w:t>специальном разделе</w:t>
        </w:r>
      </w:hyperlink>
      <w:r w:rsidRPr="00905883">
        <w:rPr>
          <w:sz w:val="28"/>
          <w:szCs w:val="28"/>
        </w:rPr>
        <w:t> на сайте ФНС России.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Оплатить налог можно в течение всего дня 15 июля. Проще всего это сделать с помощью электронного сервиса «</w:t>
      </w:r>
      <w:hyperlink r:id="rId13" w:tgtFrame="_blank" w:history="1">
        <w:r w:rsidRPr="00905883">
          <w:rPr>
            <w:rStyle w:val="a4"/>
            <w:color w:val="auto"/>
            <w:sz w:val="28"/>
            <w:szCs w:val="28"/>
            <w:u w:val="none"/>
          </w:rPr>
          <w:t>Уплата налогов и пошлин</w:t>
        </w:r>
      </w:hyperlink>
      <w:r w:rsidRPr="00905883">
        <w:rPr>
          <w:sz w:val="28"/>
          <w:szCs w:val="28"/>
        </w:rPr>
        <w:t>» на сайте ФНС России. Пользователи сервисов «</w:t>
      </w:r>
      <w:hyperlink r:id="rId14" w:tgtFrame="_blank" w:history="1">
        <w:r w:rsidRPr="00905883">
          <w:rPr>
            <w:rStyle w:val="a4"/>
            <w:color w:val="auto"/>
            <w:sz w:val="28"/>
            <w:szCs w:val="28"/>
            <w:u w:val="none"/>
          </w:rPr>
          <w:t>Личный кабинет налогоплательщика для физических лиц</w:t>
        </w:r>
      </w:hyperlink>
      <w:r w:rsidRPr="00905883">
        <w:rPr>
          <w:sz w:val="28"/>
          <w:szCs w:val="28"/>
        </w:rPr>
        <w:t>» и «</w:t>
      </w:r>
      <w:hyperlink r:id="rId15" w:tgtFrame="_blank" w:history="1">
        <w:r w:rsidRPr="00905883">
          <w:rPr>
            <w:rStyle w:val="a4"/>
            <w:color w:val="auto"/>
            <w:sz w:val="28"/>
            <w:szCs w:val="28"/>
            <w:u w:val="none"/>
          </w:rPr>
          <w:t>Личный кабинет налогоплательщика индивидуального предпринимателя</w:t>
        </w:r>
      </w:hyperlink>
      <w:r w:rsidRPr="00905883">
        <w:rPr>
          <w:sz w:val="28"/>
          <w:szCs w:val="28"/>
        </w:rPr>
        <w:t>» могут сформировать платежный документ в своем личном кабинете и уплатить налог онлайн.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5883">
        <w:rPr>
          <w:sz w:val="28"/>
          <w:szCs w:val="28"/>
        </w:rPr>
        <w:t>С 16 июля за каждый просроченный день уплаты НДФЛ будет начисляться пеня исходя из 1/300 ставки рефинансирования Банка России.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905883">
        <w:rPr>
          <w:bCs w:val="0"/>
          <w:spacing w:val="-15"/>
          <w:sz w:val="28"/>
          <w:szCs w:val="28"/>
        </w:rPr>
        <w:t>Обновились контрольные соотношения декларации по налогу на прибыль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t>Федеральная налоговая служба разместила на сайте контрольные соотношения показателей декларации по налогу на прибыль организаций. Эти соотношения используются налоговыми органами и налогоплательщиками для проверки заполнения различных взаимосвязанных между собой показателей декларации.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t>Контрольные соотношения после их реализации в программном обеспечении позволяют компаниям автоматически проверить показатели отчетности перед ее подачей. Это, в свою очередь, способствует уменьшению количества ошибок в декларациях.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t>Соответствующие сведения приводятся в </w:t>
      </w:r>
      <w:hyperlink r:id="rId16" w:tgtFrame="_blank" w:history="1">
        <w:r w:rsidRPr="00905883">
          <w:rPr>
            <w:rStyle w:val="a4"/>
            <w:color w:val="auto"/>
            <w:sz w:val="28"/>
            <w:szCs w:val="28"/>
            <w:bdr w:val="none" w:sz="0" w:space="0" w:color="auto" w:frame="1"/>
          </w:rPr>
          <w:t>письме ведомства от 01.07.2024 № СД-4-3/7429@</w:t>
        </w:r>
      </w:hyperlink>
      <w:r w:rsidRPr="00905883">
        <w:rPr>
          <w:sz w:val="28"/>
          <w:szCs w:val="28"/>
        </w:rPr>
        <w:t>.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905883" w:rsidRPr="00905883" w:rsidRDefault="00905883" w:rsidP="00905883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905883">
        <w:rPr>
          <w:bCs w:val="0"/>
          <w:spacing w:val="-15"/>
          <w:sz w:val="28"/>
          <w:szCs w:val="28"/>
        </w:rPr>
        <w:t>Разработан новый справочник для налогового мониторинга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t>Утвержден порядок ведения «справочника рисков для целей налогового мониторинга». В будущем он войдет в состав Цифрового Налогового кодекса.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t>Справочник содержит классификацию рисков, связанных с исчислением налогов, сборов, страховых взносов в рамках налогового мониторинга. Он будет наполняться поэтапно, в том числе будут использоваться практики выявления нарушений налогового законодательства.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t>Справочник рисков дополняет цифровую модель Кодекса, которая уже состоит из ранее принятых справочника контролей, справочника регистров и справочника статей Налогового Кодекса РФ, касающихся налогового мониторинга. Справочники предназначены для использования в АИС «Налог-3» и в информационных системах налогоплательщиков, к которым предоставлен доступ налоговому органу.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lastRenderedPageBreak/>
        <w:t>Цифровой Налоговый кодекс разработан для внедрения единого инструмента контроля автоматической проверки полноты и корректности данных налоговой отчетности. Внедрение Цифрового Налогового кодекса еще больше упростит проведение налогового мониторинга для налогоплательщиков и позволит им предотвращать возможные риски при исчислении налогов на своей стороне.</w:t>
      </w:r>
    </w:p>
    <w:p w:rsidR="00905883" w:rsidRPr="00905883" w:rsidRDefault="00905883" w:rsidP="0090588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05883">
        <w:rPr>
          <w:sz w:val="28"/>
          <w:szCs w:val="28"/>
        </w:rPr>
        <w:t>Ознакомиться с порядком ведения всех справочников можно на </w:t>
      </w:r>
      <w:hyperlink r:id="rId17" w:tgtFrame="_blank" w:history="1">
        <w:r w:rsidRPr="00905883">
          <w:rPr>
            <w:rStyle w:val="a4"/>
            <w:color w:val="auto"/>
            <w:sz w:val="28"/>
            <w:szCs w:val="28"/>
            <w:bdr w:val="none" w:sz="0" w:space="0" w:color="auto" w:frame="1"/>
          </w:rPr>
          <w:t>официальном сайте ФНС России</w:t>
        </w:r>
      </w:hyperlink>
      <w:r w:rsidRPr="00905883">
        <w:rPr>
          <w:sz w:val="28"/>
          <w:szCs w:val="28"/>
        </w:rPr>
        <w:t>.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AC6CCC" w:rsidRPr="00905883" w:rsidRDefault="00AC6CCC" w:rsidP="00AC6CCC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AC6CCC" w:rsidRDefault="00AC6CCC" w:rsidP="00AC6CCC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AC6CCC" w:rsidRDefault="00AC6CCC" w:rsidP="00AC6CC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Ответы на вопросы о получении социальных налоговых вычетов по расходам, произведенным с 01 января 2024 года</w:t>
      </w:r>
    </w:p>
    <w:p w:rsidR="00AC6CCC" w:rsidRDefault="00AC6CCC" w:rsidP="00AC6CC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По расходам какого года действуют новые формы справок?</w:t>
      </w:r>
    </w:p>
    <w:p w:rsidR="00AC6CCC" w:rsidRPr="00A05E2F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>Новые формы справок об оплате медицинских, образовательных услуг, добровольного медицинского страхования, негосударственного пенсионного обеспечения, добровольного пенсионного страхования и добровольного страхования жизни, а также физкультурно-оздоровительных услуг предусмотрены только в отношении расходов налогоплательщиков, понесенных с 1 января 2024 года.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Возможна ли выдача новых форм справок по расходам, произведенным в 2023 году</w:t>
      </w:r>
      <w:r w:rsidRPr="00A05E2F">
        <w:rPr>
          <w:rFonts w:ascii="Times New Roman" w:hAnsi="Times New Roman" w:cs="Times New Roman"/>
          <w:sz w:val="26"/>
          <w:szCs w:val="26"/>
        </w:rPr>
        <w:t>?</w:t>
      </w:r>
    </w:p>
    <w:p w:rsidR="00AC6CCC" w:rsidRPr="00EF3A41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 xml:space="preserve">Выдача новых форм справок об оплате медицинских, образовательных услуг, добровольного медицинского страхования, негосударственного пенсионного обеспечения, добровольного пенсионного страхования и добровольного страхования жизни, а также физкультурно-оздоровительных услуг для </w:t>
      </w:r>
      <w:r w:rsidRPr="00EF3A41">
        <w:rPr>
          <w:rFonts w:ascii="Times New Roman" w:hAnsi="Times New Roman" w:cs="Times New Roman"/>
          <w:sz w:val="26"/>
          <w:szCs w:val="26"/>
        </w:rPr>
        <w:t>представления в налоговые органы Российской Федерации в отношении расходов, понесенных до 1 января 2024 года, не допустима.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EF3A41">
        <w:rPr>
          <w:rFonts w:ascii="Times New Roman" w:hAnsi="Times New Roman" w:cs="Times New Roman"/>
          <w:sz w:val="26"/>
          <w:szCs w:val="26"/>
        </w:rPr>
        <w:t xml:space="preserve">При представлении новых форм справок по расходам, понесенным до 1 января 2024 года (за 2023, 2022, 2021 годы), </w:t>
      </w:r>
      <w:r>
        <w:rPr>
          <w:rFonts w:ascii="Times New Roman" w:hAnsi="Times New Roman" w:cs="Times New Roman"/>
          <w:sz w:val="26"/>
          <w:szCs w:val="26"/>
        </w:rPr>
        <w:t xml:space="preserve">налогоплательщику </w:t>
      </w:r>
      <w:r w:rsidRPr="00EF3A41">
        <w:rPr>
          <w:rFonts w:ascii="Times New Roman" w:hAnsi="Times New Roman" w:cs="Times New Roman"/>
          <w:sz w:val="26"/>
          <w:szCs w:val="26"/>
        </w:rPr>
        <w:t>будет отказано в предоставлении социального налогового вычета.</w:t>
      </w:r>
    </w:p>
    <w:p w:rsidR="00AC6CCC" w:rsidRPr="003F363E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363E">
        <w:rPr>
          <w:rFonts w:ascii="Times New Roman" w:hAnsi="Times New Roman" w:cs="Times New Roman"/>
          <w:b/>
          <w:sz w:val="26"/>
          <w:szCs w:val="26"/>
        </w:rPr>
        <w:t>Возможно ли получить социальный налоговый вычет по расходам 2024 года без справки на основании подтверждающих документов (договор, платежные документы и др.)</w:t>
      </w:r>
    </w:p>
    <w:p w:rsidR="00AC6CCC" w:rsidRPr="003F363E" w:rsidRDefault="00AC6CCC" w:rsidP="00AC6C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Предоставление социальных налоговых вычетов по расходам, понесенным с 1 января 2024 года, в части оказанных</w:t>
      </w:r>
      <w:r w:rsidRPr="006B0648">
        <w:rPr>
          <w:rFonts w:ascii="Times New Roman" w:hAnsi="Times New Roman" w:cs="Times New Roman"/>
          <w:sz w:val="26"/>
          <w:szCs w:val="26"/>
        </w:rPr>
        <w:t xml:space="preserve"> медицинских, образовательных услуг, добровольного медицинского страхования, негосударственного пенсионного обеспечения, добровольного пенсионного страхования и добровольного страхования жизни, а также физкультурно-оздоровительных услуг</w:t>
      </w:r>
      <w:r>
        <w:rPr>
          <w:rFonts w:ascii="Times New Roman" w:hAnsi="Times New Roman" w:cs="Times New Roman"/>
          <w:sz w:val="26"/>
          <w:szCs w:val="26"/>
        </w:rPr>
        <w:t xml:space="preserve">, осуществляется только на основании справок/сведений, указанных в </w:t>
      </w:r>
      <w:r w:rsidRPr="006B0648">
        <w:rPr>
          <w:rFonts w:ascii="Times New Roman" w:hAnsi="Times New Roman" w:cs="Times New Roman"/>
          <w:sz w:val="26"/>
          <w:szCs w:val="26"/>
        </w:rPr>
        <w:t>подпункт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6B0648">
        <w:rPr>
          <w:rFonts w:ascii="Times New Roman" w:hAnsi="Times New Roman" w:cs="Times New Roman"/>
          <w:sz w:val="26"/>
          <w:szCs w:val="26"/>
        </w:rPr>
        <w:t xml:space="preserve"> 2, подпункт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6B0648">
        <w:rPr>
          <w:rFonts w:ascii="Times New Roman" w:hAnsi="Times New Roman" w:cs="Times New Roman"/>
          <w:sz w:val="26"/>
          <w:szCs w:val="26"/>
        </w:rPr>
        <w:t xml:space="preserve"> 3 (за исключением социального налогового вычета в размере стоимости лекарственных препаратов для медицинского применения, предусмотренного подпунктом 3 пункта 1 статьи 219 Налогового кодекса Российской Федерации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6B0648">
        <w:rPr>
          <w:rFonts w:ascii="Times New Roman" w:hAnsi="Times New Roman" w:cs="Times New Roman"/>
          <w:sz w:val="26"/>
          <w:szCs w:val="26"/>
        </w:rPr>
        <w:t>, подпункт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6B0648">
        <w:rPr>
          <w:rFonts w:ascii="Times New Roman" w:hAnsi="Times New Roman" w:cs="Times New Roman"/>
          <w:sz w:val="26"/>
          <w:szCs w:val="26"/>
        </w:rPr>
        <w:t xml:space="preserve"> 4 и 7 пункта 1 статьи 219 Налогового кодекса Российской Федерации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lastRenderedPageBreak/>
        <w:t>Как осуществляется отправка сведений о произведенных налогоплательщиками расходах в налоговый орган в электронном виде?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>Представлени</w:t>
      </w:r>
      <w:r w:rsidRPr="00EF3A41">
        <w:rPr>
          <w:rFonts w:ascii="Times New Roman" w:hAnsi="Times New Roman" w:cs="Times New Roman"/>
          <w:sz w:val="26"/>
          <w:szCs w:val="26"/>
        </w:rPr>
        <w:t>е</w:t>
      </w:r>
      <w:r w:rsidRPr="00A05E2F">
        <w:rPr>
          <w:rFonts w:ascii="Times New Roman" w:hAnsi="Times New Roman" w:cs="Times New Roman"/>
          <w:sz w:val="26"/>
          <w:szCs w:val="26"/>
        </w:rPr>
        <w:t xml:space="preserve"> соответствующих сведений, подтверждающих фактические расходы налогоплательщиков на оплату услуг (уплату страховых (пенсионных) взносов), в налоговый орган непосредственно организациями, индивидуальными предпринимателями, негосударственными пенсионными фондами может осуществляться в электронной форме, по телекоммуникационным каналам связи с применением усиленной квалифицированной электронной подписи - при наличии у них технической возможности на такое взаимодействие с налоговыми органами.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DB2F1F">
        <w:rPr>
          <w:rFonts w:ascii="Times New Roman" w:hAnsi="Times New Roman" w:cs="Times New Roman"/>
          <w:sz w:val="26"/>
          <w:szCs w:val="26"/>
        </w:rPr>
        <w:t xml:space="preserve">Возможность формирования </w:t>
      </w:r>
      <w:r>
        <w:rPr>
          <w:rFonts w:ascii="Times New Roman" w:hAnsi="Times New Roman" w:cs="Times New Roman"/>
          <w:sz w:val="26"/>
          <w:szCs w:val="26"/>
        </w:rPr>
        <w:t xml:space="preserve">новых форм </w:t>
      </w:r>
      <w:r w:rsidRPr="00DB2F1F">
        <w:rPr>
          <w:rFonts w:ascii="Times New Roman" w:hAnsi="Times New Roman" w:cs="Times New Roman"/>
          <w:sz w:val="26"/>
          <w:szCs w:val="26"/>
        </w:rPr>
        <w:t>справок для представления в налоговый орган и сведений о фактических расходах налогоплательщика на оказанные услуги, необходимых для предоставления социального налогового вычета по налогу на доходы физических лиц, в электронной форме предоставлена начиная с версии 4.84 программного обеспечения ФНС России «Налогоплательщик ЮЛ» (ПО размещено на официальном сайте ФНС России в разделе «Программные средства» https://www.nalog.gov.ru/rn77/program/5961229/).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Обязательно ли представление сведений о произведенных налогоплательщиками расходах в налоговый орган в электронном виде?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>Представление организациями и индивидуальными предпринимателями сведений в электронной форме осуществляется в добровольном порядке при наличии у них технической возможности на такой обмен с налоговыми органами.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этом, представление </w:t>
      </w:r>
      <w:r w:rsidRPr="006B615B">
        <w:rPr>
          <w:rFonts w:ascii="Times New Roman" w:hAnsi="Times New Roman" w:cs="Times New Roman"/>
          <w:sz w:val="26"/>
          <w:szCs w:val="26"/>
        </w:rPr>
        <w:t xml:space="preserve">сведений </w:t>
      </w:r>
      <w:r w:rsidRPr="00A05E2F">
        <w:rPr>
          <w:rFonts w:ascii="Times New Roman" w:hAnsi="Times New Roman" w:cs="Times New Roman"/>
          <w:sz w:val="26"/>
          <w:szCs w:val="26"/>
        </w:rPr>
        <w:t xml:space="preserve">организациями и индивидуальными предпринимателями </w:t>
      </w:r>
      <w:r w:rsidRPr="006B615B">
        <w:rPr>
          <w:rFonts w:ascii="Times New Roman" w:hAnsi="Times New Roman" w:cs="Times New Roman"/>
          <w:sz w:val="26"/>
          <w:szCs w:val="26"/>
        </w:rPr>
        <w:t xml:space="preserve">напрямую </w:t>
      </w:r>
      <w:r>
        <w:rPr>
          <w:rFonts w:ascii="Times New Roman" w:hAnsi="Times New Roman" w:cs="Times New Roman"/>
          <w:sz w:val="26"/>
          <w:szCs w:val="26"/>
        </w:rPr>
        <w:t>в налоговый орган уменьшит трудозатраты поставщиков сведений по заполнению необходимых документов</w:t>
      </w:r>
      <w:r w:rsidRPr="006B615B">
        <w:rPr>
          <w:rFonts w:ascii="Times New Roman" w:hAnsi="Times New Roman" w:cs="Times New Roman"/>
          <w:sz w:val="26"/>
          <w:szCs w:val="26"/>
        </w:rPr>
        <w:t>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 xml:space="preserve">Как </w:t>
      </w:r>
      <w:r w:rsidRPr="006B615B">
        <w:rPr>
          <w:rFonts w:ascii="Times New Roman" w:hAnsi="Times New Roman" w:cs="Times New Roman"/>
          <w:b/>
          <w:sz w:val="26"/>
          <w:szCs w:val="26"/>
        </w:rPr>
        <w:t>налогоплательщику у</w:t>
      </w:r>
      <w:r w:rsidRPr="00A05E2F">
        <w:rPr>
          <w:rFonts w:ascii="Times New Roman" w:hAnsi="Times New Roman" w:cs="Times New Roman"/>
          <w:b/>
          <w:sz w:val="26"/>
          <w:szCs w:val="26"/>
        </w:rPr>
        <w:t>знать направила ли организация, оказывавшая соответствующие услуги, сведения о расходах в налоговый орган?</w:t>
      </w:r>
    </w:p>
    <w:p w:rsidR="00AC6CCC" w:rsidRPr="00A05E2F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>Указанные сведения будут отображаться в «Личном кабинете налогоплательщика для физических лиц» во вкладке «Доходы и вычеты» - «</w:t>
      </w:r>
      <w:r>
        <w:rPr>
          <w:rFonts w:ascii="Times New Roman" w:hAnsi="Times New Roman" w:cs="Times New Roman"/>
          <w:sz w:val="26"/>
          <w:szCs w:val="26"/>
        </w:rPr>
        <w:t>Сведения по социальным вычетам» после их поступления в налоговый орган.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Как получить справку об оплате соответствующего вида услуг в 2024 году для представления в налоговые органы на бумажном носителе? Что необходимо предпринять для направления организацией сведений в электронном виде в налоговый орган?</w:t>
      </w:r>
    </w:p>
    <w:p w:rsidR="00AC6CCC" w:rsidRPr="00F118A4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 xml:space="preserve">Обратиться непосредственного в организации или к индивидуальным </w:t>
      </w:r>
      <w:r w:rsidRPr="00F118A4">
        <w:rPr>
          <w:rFonts w:ascii="Times New Roman" w:hAnsi="Times New Roman" w:cs="Times New Roman"/>
          <w:sz w:val="26"/>
          <w:szCs w:val="26"/>
        </w:rPr>
        <w:t>предпринимателям, которые оказывали соответствующие услуги.</w:t>
      </w:r>
    </w:p>
    <w:p w:rsidR="00AC6CCC" w:rsidRPr="00F118A4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F118A4">
        <w:rPr>
          <w:rFonts w:ascii="Times New Roman" w:hAnsi="Times New Roman" w:cs="Times New Roman"/>
          <w:sz w:val="26"/>
          <w:szCs w:val="26"/>
        </w:rPr>
        <w:t>Справка заполняется на основании заявления физического лица (его супруга/супруги) о выдаче справки, оплатившего услуги (взносы), за запрашиваемый налоговый период (год), в котором оказывались услуги (уплачивались взносы) и осуществлялись соответствующие расходы на оказанные услуги. Справка может быть выдана как в течение налогового периода, так и по его окончании.</w:t>
      </w:r>
    </w:p>
    <w:p w:rsidR="00AC6CCC" w:rsidRPr="00F118A4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F118A4">
        <w:rPr>
          <w:rFonts w:ascii="Times New Roman" w:hAnsi="Times New Roman" w:cs="Times New Roman"/>
          <w:sz w:val="26"/>
          <w:szCs w:val="26"/>
        </w:rPr>
        <w:t>Форма такого заявления физического лица (его супруга/супруги) является произвольной и может быть определена для целей внутреннего учета организацией и индивидуальным предпринимателем самостоятельно.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Установлены ли сроки выдачи справки организациями или индивидуальными предпринимателями по заявлениям налогоплательщиков?</w:t>
      </w:r>
    </w:p>
    <w:p w:rsidR="00AC6CCC" w:rsidRPr="00095C80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lastRenderedPageBreak/>
        <w:t xml:space="preserve">Специальные сроки для выдачи справок об оплате услуг (уплату страховых (пенсионных) взносов) для </w:t>
      </w:r>
      <w:r w:rsidRPr="00095C80">
        <w:rPr>
          <w:rFonts w:ascii="Times New Roman" w:hAnsi="Times New Roman" w:cs="Times New Roman"/>
          <w:sz w:val="26"/>
          <w:szCs w:val="26"/>
        </w:rPr>
        <w:t xml:space="preserve">представления в налоговый орган по заявлению налогоплательщика положениями Налогового Кодекса Российской Федерации и приказами ФНС России не установлены. </w:t>
      </w:r>
    </w:p>
    <w:p w:rsidR="00AC6CCC" w:rsidRPr="00A05E2F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095C80">
        <w:rPr>
          <w:rFonts w:ascii="Times New Roman" w:hAnsi="Times New Roman" w:cs="Times New Roman"/>
          <w:sz w:val="26"/>
          <w:szCs w:val="26"/>
        </w:rPr>
        <w:t xml:space="preserve">Вместе с тем, рекомендуем руководствоваться </w:t>
      </w:r>
      <w:r w:rsidRPr="00A05E2F">
        <w:rPr>
          <w:rFonts w:ascii="Times New Roman" w:hAnsi="Times New Roman" w:cs="Times New Roman"/>
          <w:sz w:val="26"/>
          <w:szCs w:val="26"/>
        </w:rPr>
        <w:t>общеустановленными сроками рассмотрения письменных обращений, установленными частью 1 статьи 12 Федерального закона от 02.05.2006 № 59-ФЗ «О порядке рассмотрения обращений граждан Российской Федерации» (в течение 30 дней со дня регистрации письменного обращения).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Порядок выдачи справки/направления сведений если налоговый вычет хочет получить супруг (а) за супругу (а), а также распределение сумм расходов между супругами?</w:t>
      </w:r>
    </w:p>
    <w:p w:rsidR="00AC6CCC" w:rsidRPr="00A05E2F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 xml:space="preserve">В целях получения обоими супругами социального налогового вычета в заполняемой форме справки указывается согласованная супругами сумма расходов конкретного супруга, обратившегося за выдачей справки. Заполнение справок в отношении одних и тех же понесенных расходов одновременно налогоплательщику и его супругу (супруге) не допускается. </w:t>
      </w:r>
      <w:r w:rsidR="00694A20">
        <w:rPr>
          <w:rFonts w:ascii="Times New Roman" w:hAnsi="Times New Roman" w:cs="Times New Roman"/>
          <w:sz w:val="26"/>
          <w:szCs w:val="26"/>
        </w:rPr>
        <w:t>С</w:t>
      </w:r>
      <w:r w:rsidRPr="00A05E2F">
        <w:rPr>
          <w:rFonts w:ascii="Times New Roman" w:hAnsi="Times New Roman" w:cs="Times New Roman"/>
          <w:sz w:val="26"/>
          <w:szCs w:val="26"/>
        </w:rPr>
        <w:t xml:space="preserve">огласование сумм расходов супругов определяется на основании заявления физического лица (его супруга/супруги), представляемого для получения </w:t>
      </w:r>
      <w:r w:rsidRPr="00A05E2F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A05E2F">
        <w:rPr>
          <w:rFonts w:ascii="Times New Roman" w:hAnsi="Times New Roman" w:cs="Times New Roman"/>
          <w:sz w:val="26"/>
          <w:szCs w:val="26"/>
        </w:rPr>
        <w:t xml:space="preserve">правки и (или) для представления в налоговый орган </w:t>
      </w:r>
      <w:r w:rsidRPr="00A05E2F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A05E2F">
        <w:rPr>
          <w:rFonts w:ascii="Times New Roman" w:hAnsi="Times New Roman" w:cs="Times New Roman"/>
          <w:sz w:val="26"/>
          <w:szCs w:val="26"/>
        </w:rPr>
        <w:t>ведений о фактических расходах.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Что необходимо сделать если обнаружены несоответствия в представленных сведениях, а также если представлены ошибочные сведения?</w:t>
      </w:r>
    </w:p>
    <w:p w:rsidR="00AC6CCC" w:rsidRDefault="00AC6CCC" w:rsidP="00AC6CCC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6"/>
          <w:szCs w:val="26"/>
        </w:rPr>
      </w:pPr>
      <w:r w:rsidRPr="0018289B">
        <w:rPr>
          <w:rFonts w:ascii="Times New Roman" w:hAnsi="Times New Roman" w:cs="Times New Roman"/>
          <w:sz w:val="26"/>
          <w:szCs w:val="26"/>
        </w:rPr>
        <w:t xml:space="preserve">Налогоплательщику необходимо обратиться в организацию, которая оказывала соответствующие услуги и представила сведения в налоговый орган в целях представления организацией корректирующих сведений. </w:t>
      </w:r>
    </w:p>
    <w:p w:rsidR="00AC6CCC" w:rsidRPr="0018289B" w:rsidRDefault="00AC6CCC" w:rsidP="00AC6CCC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6"/>
          <w:szCs w:val="26"/>
        </w:rPr>
      </w:pPr>
      <w:r w:rsidRPr="0018289B">
        <w:rPr>
          <w:rFonts w:ascii="Times New Roman" w:hAnsi="Times New Roman" w:cs="Times New Roman"/>
          <w:sz w:val="26"/>
          <w:szCs w:val="26"/>
        </w:rPr>
        <w:t xml:space="preserve">Учитывая положения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18289B">
        <w:rPr>
          <w:rFonts w:ascii="Times New Roman" w:hAnsi="Times New Roman" w:cs="Times New Roman"/>
          <w:sz w:val="26"/>
          <w:szCs w:val="26"/>
        </w:rPr>
        <w:t xml:space="preserve">орядка заполнения формы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18289B">
        <w:rPr>
          <w:rFonts w:ascii="Times New Roman" w:hAnsi="Times New Roman" w:cs="Times New Roman"/>
          <w:sz w:val="26"/>
          <w:szCs w:val="26"/>
        </w:rPr>
        <w:t xml:space="preserve">правки, при представлении в течение года в отношении налогоплательщика нескольких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18289B">
        <w:rPr>
          <w:rFonts w:ascii="Times New Roman" w:hAnsi="Times New Roman" w:cs="Times New Roman"/>
          <w:sz w:val="26"/>
          <w:szCs w:val="26"/>
        </w:rPr>
        <w:t xml:space="preserve">правок с указанием суммы расходов нарастающим итогом, в каждой последующей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18289B">
        <w:rPr>
          <w:rFonts w:ascii="Times New Roman" w:hAnsi="Times New Roman" w:cs="Times New Roman"/>
          <w:sz w:val="26"/>
          <w:szCs w:val="26"/>
        </w:rPr>
        <w:t>правки указывается номер корректировки, который имеет сквозную нумерацию (например, «0--», «1--», «2--», …, «10-» и так далее).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18289B">
        <w:rPr>
          <w:rFonts w:ascii="Times New Roman" w:hAnsi="Times New Roman" w:cs="Times New Roman"/>
          <w:sz w:val="26"/>
          <w:szCs w:val="26"/>
        </w:rPr>
        <w:t xml:space="preserve">Особенности определения номера корректировки установлены также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18289B">
        <w:rPr>
          <w:rFonts w:ascii="Times New Roman" w:hAnsi="Times New Roman" w:cs="Times New Roman"/>
          <w:sz w:val="26"/>
          <w:szCs w:val="26"/>
        </w:rPr>
        <w:t>орядк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18289B">
        <w:rPr>
          <w:rFonts w:ascii="Times New Roman" w:hAnsi="Times New Roman" w:cs="Times New Roman"/>
          <w:sz w:val="26"/>
          <w:szCs w:val="26"/>
        </w:rPr>
        <w:t xml:space="preserve"> заполнения формы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18289B">
        <w:rPr>
          <w:rFonts w:ascii="Times New Roman" w:hAnsi="Times New Roman" w:cs="Times New Roman"/>
          <w:sz w:val="26"/>
          <w:szCs w:val="26"/>
        </w:rPr>
        <w:t>правки.</w:t>
      </w:r>
    </w:p>
    <w:p w:rsidR="00AC6CCC" w:rsidRPr="00A05E2F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5E2F">
        <w:rPr>
          <w:rFonts w:ascii="Times New Roman" w:hAnsi="Times New Roman" w:cs="Times New Roman"/>
          <w:b/>
          <w:sz w:val="26"/>
          <w:szCs w:val="26"/>
        </w:rPr>
        <w:t>Какой порядок заполнения общей суммы расходов в справ</w:t>
      </w:r>
      <w:r>
        <w:rPr>
          <w:rFonts w:ascii="Times New Roman" w:hAnsi="Times New Roman" w:cs="Times New Roman"/>
          <w:b/>
          <w:sz w:val="26"/>
          <w:szCs w:val="26"/>
        </w:rPr>
        <w:t>ках</w:t>
      </w:r>
      <w:r w:rsidRPr="00A05E2F">
        <w:rPr>
          <w:rFonts w:ascii="Times New Roman" w:hAnsi="Times New Roman" w:cs="Times New Roman"/>
          <w:b/>
          <w:sz w:val="26"/>
          <w:szCs w:val="26"/>
        </w:rPr>
        <w:t>?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A05E2F">
        <w:rPr>
          <w:rFonts w:ascii="Times New Roman" w:hAnsi="Times New Roman" w:cs="Times New Roman"/>
          <w:sz w:val="26"/>
          <w:szCs w:val="26"/>
        </w:rPr>
        <w:t>Общая сумма произведенных расходов на уплату услуг (уплату страховых (пенсионных) взносов) указывается в справке (в том числе в корректирующей справке) нарастающим итогом за налоговый период (календарный год).</w:t>
      </w:r>
    </w:p>
    <w:p w:rsidR="00AC6CCC" w:rsidRPr="009757FE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9757FE">
        <w:rPr>
          <w:rFonts w:ascii="Times New Roman" w:hAnsi="Times New Roman" w:cs="Times New Roman"/>
          <w:sz w:val="26"/>
          <w:szCs w:val="26"/>
        </w:rPr>
        <w:t xml:space="preserve">При заполнении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9757FE">
        <w:rPr>
          <w:rFonts w:ascii="Times New Roman" w:hAnsi="Times New Roman" w:cs="Times New Roman"/>
          <w:sz w:val="26"/>
          <w:szCs w:val="26"/>
        </w:rPr>
        <w:t xml:space="preserve">правки (корректирующей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9757FE">
        <w:rPr>
          <w:rFonts w:ascii="Times New Roman" w:hAnsi="Times New Roman" w:cs="Times New Roman"/>
          <w:sz w:val="26"/>
          <w:szCs w:val="26"/>
        </w:rPr>
        <w:t xml:space="preserve">правки) учитываются </w:t>
      </w:r>
      <w:r>
        <w:rPr>
          <w:rFonts w:ascii="Times New Roman" w:hAnsi="Times New Roman" w:cs="Times New Roman"/>
          <w:sz w:val="26"/>
          <w:szCs w:val="26"/>
        </w:rPr>
        <w:t>как с</w:t>
      </w:r>
      <w:r w:rsidRPr="009757FE">
        <w:rPr>
          <w:rFonts w:ascii="Times New Roman" w:hAnsi="Times New Roman" w:cs="Times New Roman"/>
          <w:sz w:val="26"/>
          <w:szCs w:val="26"/>
        </w:rPr>
        <w:t xml:space="preserve">правки, ранее выданные налогоплательщику за соответствующий период, </w:t>
      </w:r>
      <w:r>
        <w:rPr>
          <w:rFonts w:ascii="Times New Roman" w:hAnsi="Times New Roman" w:cs="Times New Roman"/>
          <w:sz w:val="26"/>
          <w:szCs w:val="26"/>
        </w:rPr>
        <w:t xml:space="preserve">так </w:t>
      </w:r>
      <w:r w:rsidRPr="009757FE">
        <w:rPr>
          <w:rFonts w:ascii="Times New Roman" w:hAnsi="Times New Roman" w:cs="Times New Roman"/>
          <w:sz w:val="26"/>
          <w:szCs w:val="26"/>
        </w:rPr>
        <w:t>и сведения, представленные в отношении налогоплательщика за соответствующий период в налоговый орган в электронной форме в порядке, предусмотренном абзацем первым пункта 3.1 статьи 221.1 Налогового кодекса Российской Федерации.</w:t>
      </w:r>
    </w:p>
    <w:p w:rsidR="00AC6CCC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9757FE">
        <w:rPr>
          <w:rFonts w:ascii="Times New Roman" w:hAnsi="Times New Roman" w:cs="Times New Roman"/>
          <w:sz w:val="26"/>
          <w:szCs w:val="26"/>
        </w:rPr>
        <w:t>Данные требования не ограничивают организацию</w:t>
      </w:r>
      <w:r>
        <w:rPr>
          <w:rFonts w:ascii="Times New Roman" w:hAnsi="Times New Roman" w:cs="Times New Roman"/>
          <w:sz w:val="26"/>
          <w:szCs w:val="26"/>
        </w:rPr>
        <w:t xml:space="preserve"> и индивидуального предпринимателя</w:t>
      </w:r>
      <w:r w:rsidRPr="009757FE">
        <w:rPr>
          <w:rFonts w:ascii="Times New Roman" w:hAnsi="Times New Roman" w:cs="Times New Roman"/>
          <w:sz w:val="26"/>
          <w:szCs w:val="26"/>
        </w:rPr>
        <w:t xml:space="preserve"> в выдаче налогоплательщику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9757FE">
        <w:rPr>
          <w:rFonts w:ascii="Times New Roman" w:hAnsi="Times New Roman" w:cs="Times New Roman"/>
          <w:sz w:val="26"/>
          <w:szCs w:val="26"/>
        </w:rPr>
        <w:t>правки в течение налогового периода в отношении расходов, произведенных за уже оказанные услуги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C6CCC" w:rsidRPr="00837934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sz w:val="26"/>
          <w:szCs w:val="26"/>
        </w:rPr>
      </w:pPr>
      <w:r w:rsidRPr="00C5655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О</w:t>
      </w:r>
      <w:r w:rsidRPr="00837934">
        <w:rPr>
          <w:rFonts w:ascii="Times New Roman" w:hAnsi="Times New Roman" w:cs="Times New Roman"/>
          <w:b/>
          <w:sz w:val="26"/>
          <w:szCs w:val="26"/>
        </w:rPr>
        <w:t>бяза</w:t>
      </w:r>
      <w:r>
        <w:rPr>
          <w:rFonts w:ascii="Times New Roman" w:hAnsi="Times New Roman" w:cs="Times New Roman"/>
          <w:b/>
          <w:sz w:val="26"/>
          <w:szCs w:val="26"/>
        </w:rPr>
        <w:t>тельно ли заполнение зоны «</w:t>
      </w:r>
      <w:r w:rsidRPr="00837934">
        <w:rPr>
          <w:rFonts w:ascii="Times New Roman" w:hAnsi="Times New Roman" w:cs="Times New Roman"/>
          <w:b/>
          <w:sz w:val="26"/>
          <w:szCs w:val="26"/>
        </w:rPr>
        <w:t>QR-код</w:t>
      </w:r>
      <w:r>
        <w:rPr>
          <w:rFonts w:ascii="Times New Roman" w:hAnsi="Times New Roman" w:cs="Times New Roman"/>
          <w:b/>
          <w:sz w:val="26"/>
          <w:szCs w:val="26"/>
        </w:rPr>
        <w:t>» при подготовке справки с использованием программного обеспечения?</w:t>
      </w:r>
    </w:p>
    <w:p w:rsidR="00AC6CCC" w:rsidRPr="00837934" w:rsidRDefault="00AC6CCC" w:rsidP="00AC6CCC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37934">
        <w:rPr>
          <w:rFonts w:ascii="Times New Roman" w:hAnsi="Times New Roman" w:cs="Times New Roman"/>
          <w:sz w:val="26"/>
          <w:szCs w:val="26"/>
        </w:rPr>
        <w:t xml:space="preserve">В правом нижнем углу формы справки расположена зона QR-кода. </w:t>
      </w:r>
    </w:p>
    <w:p w:rsidR="00AC6CCC" w:rsidRDefault="00AC6CCC" w:rsidP="00AC6CCC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37934">
        <w:rPr>
          <w:rFonts w:ascii="Times New Roman" w:hAnsi="Times New Roman" w:cs="Times New Roman"/>
          <w:sz w:val="26"/>
          <w:szCs w:val="26"/>
        </w:rPr>
        <w:lastRenderedPageBreak/>
        <w:t>Согласно порядк</w:t>
      </w:r>
      <w:r>
        <w:rPr>
          <w:rFonts w:ascii="Times New Roman" w:hAnsi="Times New Roman" w:cs="Times New Roman"/>
          <w:sz w:val="26"/>
          <w:szCs w:val="26"/>
        </w:rPr>
        <w:t>у заполнения справок</w:t>
      </w:r>
      <w:r w:rsidRPr="00837934">
        <w:rPr>
          <w:rFonts w:ascii="Times New Roman" w:hAnsi="Times New Roman" w:cs="Times New Roman"/>
          <w:sz w:val="26"/>
          <w:szCs w:val="26"/>
        </w:rPr>
        <w:t xml:space="preserve"> раздел «Зона QR-кода» может заполняться с использованием программного обеспечения, предусматривающего при распечатывании справки вывод на странице Справки QR -кода, содержащего показатели справки.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37934">
        <w:rPr>
          <w:rFonts w:ascii="Times New Roman" w:hAnsi="Times New Roman" w:cs="Times New Roman"/>
          <w:sz w:val="26"/>
          <w:szCs w:val="26"/>
        </w:rPr>
        <w:t xml:space="preserve">Содержимое QR-кода повторяет информацию, указанную в </w:t>
      </w:r>
      <w:r>
        <w:rPr>
          <w:rFonts w:ascii="Times New Roman" w:hAnsi="Times New Roman" w:cs="Times New Roman"/>
          <w:sz w:val="26"/>
          <w:szCs w:val="26"/>
        </w:rPr>
        <w:t xml:space="preserve">справке. </w:t>
      </w:r>
    </w:p>
    <w:p w:rsidR="00AC6CCC" w:rsidRDefault="00AC6CCC" w:rsidP="00AC6CCC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37934"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Pr="00C54C90">
        <w:rPr>
          <w:rFonts w:ascii="Times New Roman" w:hAnsi="Times New Roman" w:cs="Times New Roman"/>
          <w:sz w:val="26"/>
          <w:szCs w:val="26"/>
        </w:rPr>
        <w:t>раздел «Зона QR-кода» может не заполняться в случае отсутствия у организации и индивидуального предпринимателя технической возможности.</w:t>
      </w:r>
    </w:p>
    <w:p w:rsidR="00AC6CCC" w:rsidRDefault="00AC6CCC" w:rsidP="00AC6CCC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Вместе с тем, заполнение раздела </w:t>
      </w:r>
      <w:r w:rsidRPr="00837934">
        <w:rPr>
          <w:rFonts w:ascii="Times New Roman" w:hAnsi="Times New Roman" w:cs="Times New Roman"/>
          <w:sz w:val="26"/>
          <w:szCs w:val="26"/>
        </w:rPr>
        <w:t>«Зона QR-кода»</w:t>
      </w:r>
      <w:r>
        <w:rPr>
          <w:rFonts w:ascii="Times New Roman" w:hAnsi="Times New Roman" w:cs="Times New Roman"/>
          <w:sz w:val="26"/>
          <w:szCs w:val="26"/>
        </w:rPr>
        <w:t xml:space="preserve"> позволит налогоплательщику автоматически заполнять соответствующие поля сведений при направлении документов для предоставления социальных налоговых вычетов посредством «Личного кабинета налогоплательщика для физических лиц».</w:t>
      </w:r>
    </w:p>
    <w:p w:rsidR="00AC6CCC" w:rsidRPr="00C54C90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4C90">
        <w:rPr>
          <w:rFonts w:ascii="Times New Roman" w:hAnsi="Times New Roman" w:cs="Times New Roman"/>
          <w:b/>
          <w:sz w:val="26"/>
          <w:szCs w:val="26"/>
        </w:rPr>
        <w:t>При заполнении справки на бумажном носителе необходимо ли проставлять печать организации на подпись ответственного лица?</w:t>
      </w:r>
    </w:p>
    <w:p w:rsidR="00AC6CCC" w:rsidRPr="00C54C90" w:rsidRDefault="00AC6CCC" w:rsidP="00AC6CCC">
      <w:pPr>
        <w:pStyle w:val="a7"/>
        <w:spacing w:after="0" w:line="240" w:lineRule="auto"/>
        <w:ind w:left="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C54C90">
        <w:rPr>
          <w:rFonts w:ascii="Times New Roman" w:hAnsi="Times New Roman" w:cs="Times New Roman"/>
          <w:sz w:val="26"/>
          <w:szCs w:val="26"/>
        </w:rPr>
        <w:t xml:space="preserve">В случае, если Уставом организации предусмотрено наличие печати, по мнению </w:t>
      </w:r>
      <w:r>
        <w:rPr>
          <w:rFonts w:ascii="Times New Roman" w:hAnsi="Times New Roman" w:cs="Times New Roman"/>
          <w:sz w:val="26"/>
          <w:szCs w:val="26"/>
        </w:rPr>
        <w:t>ФНС России</w:t>
      </w:r>
      <w:r w:rsidRPr="00C54C90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рекомендуется</w:t>
      </w:r>
      <w:r w:rsidRPr="00C54C90">
        <w:rPr>
          <w:rFonts w:ascii="Times New Roman" w:hAnsi="Times New Roman" w:cs="Times New Roman"/>
          <w:sz w:val="26"/>
          <w:szCs w:val="26"/>
        </w:rPr>
        <w:t xml:space="preserve"> ее проставлять при заполнении справки на бумажном носителе.</w:t>
      </w:r>
    </w:p>
    <w:p w:rsidR="00AC6CCC" w:rsidRPr="00C54C90" w:rsidRDefault="00AC6CCC" w:rsidP="00AC6CCC">
      <w:pPr>
        <w:pStyle w:val="a7"/>
        <w:numPr>
          <w:ilvl w:val="0"/>
          <w:numId w:val="22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4C90">
        <w:rPr>
          <w:rFonts w:ascii="Times New Roman" w:hAnsi="Times New Roman" w:cs="Times New Roman"/>
          <w:b/>
          <w:sz w:val="26"/>
          <w:szCs w:val="26"/>
        </w:rPr>
        <w:t>Где можно ознакомиться с информацией о форме справок (сведений) и порядке их заполнения?</w:t>
      </w:r>
    </w:p>
    <w:p w:rsidR="00AC6CCC" w:rsidRPr="00C54C90" w:rsidRDefault="00AC6CCC" w:rsidP="00AC6CCC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4C90">
        <w:rPr>
          <w:rFonts w:ascii="Times New Roman" w:hAnsi="Times New Roman" w:cs="Times New Roman"/>
          <w:sz w:val="26"/>
          <w:szCs w:val="26"/>
        </w:rPr>
        <w:t>Приказы ФНС России об утверждении форм справок и порядка их заполнения, а также формата и порядка представления в налоговый орган сведений о расходах налогоплательщиков на оказанные услуги (уплаченные взносы) размещены на официальном сайте ФНС России:</w:t>
      </w:r>
    </w:p>
    <w:p w:rsidR="00AC6CCC" w:rsidRPr="00C54C90" w:rsidRDefault="00AC6CCC" w:rsidP="00AC6CCC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4C90">
        <w:rPr>
          <w:rFonts w:ascii="Times New Roman" w:hAnsi="Times New Roman" w:cs="Times New Roman"/>
          <w:sz w:val="26"/>
          <w:szCs w:val="26"/>
        </w:rPr>
        <w:t>-</w:t>
      </w:r>
      <w:hyperlink r:id="rId18" w:history="1">
        <w:r w:rsidRPr="00C54C90">
          <w:rPr>
            <w:rStyle w:val="a4"/>
            <w:rFonts w:ascii="Times New Roman" w:hAnsi="Times New Roman" w:cs="Times New Roman"/>
            <w:sz w:val="26"/>
            <w:szCs w:val="26"/>
          </w:rPr>
          <w:t>https://www.nalog.gov.ru/rn77/about_fts/docs/14110792/</w:t>
        </w:r>
      </w:hyperlink>
      <w:r w:rsidRPr="00C54C90">
        <w:rPr>
          <w:rFonts w:ascii="Times New Roman" w:hAnsi="Times New Roman" w:cs="Times New Roman"/>
          <w:sz w:val="26"/>
          <w:szCs w:val="26"/>
        </w:rPr>
        <w:t>,</w:t>
      </w:r>
    </w:p>
    <w:p w:rsidR="00AC6CCC" w:rsidRPr="00C54C90" w:rsidRDefault="00AC6CCC" w:rsidP="00AC6CCC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4C90">
        <w:rPr>
          <w:rFonts w:ascii="Times New Roman" w:hAnsi="Times New Roman" w:cs="Times New Roman"/>
          <w:sz w:val="26"/>
          <w:szCs w:val="26"/>
        </w:rPr>
        <w:t>-</w:t>
      </w:r>
      <w:hyperlink r:id="rId19" w:history="1">
        <w:r w:rsidRPr="00C54C90">
          <w:rPr>
            <w:rStyle w:val="a4"/>
            <w:rFonts w:ascii="Times New Roman" w:hAnsi="Times New Roman" w:cs="Times New Roman"/>
            <w:sz w:val="26"/>
            <w:szCs w:val="26"/>
          </w:rPr>
          <w:t>https://www.nalog.gov.ru/rn77/about_fts/docs/14112940/</w:t>
        </w:r>
      </w:hyperlink>
      <w:r w:rsidRPr="00C54C90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AC6CCC" w:rsidRPr="00C54C90" w:rsidRDefault="00AC6CCC" w:rsidP="00AC6CCC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4C90">
        <w:rPr>
          <w:rFonts w:ascii="Times New Roman" w:hAnsi="Times New Roman" w:cs="Times New Roman"/>
          <w:sz w:val="26"/>
          <w:szCs w:val="26"/>
        </w:rPr>
        <w:t>-</w:t>
      </w:r>
      <w:hyperlink r:id="rId20" w:history="1">
        <w:r w:rsidRPr="00C54C90">
          <w:rPr>
            <w:rStyle w:val="a4"/>
            <w:rFonts w:ascii="Times New Roman" w:hAnsi="Times New Roman" w:cs="Times New Roman"/>
            <w:sz w:val="26"/>
            <w:szCs w:val="26"/>
          </w:rPr>
          <w:t>https://www.nalog.gov.ru/rn77/about_fts/docs/14112778/</w:t>
        </w:r>
      </w:hyperlink>
      <w:r w:rsidRPr="00C54C90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AC6CCC" w:rsidRPr="00C54C90" w:rsidRDefault="00AC6CCC" w:rsidP="00AC6CCC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4C90">
        <w:rPr>
          <w:rFonts w:ascii="Times New Roman" w:hAnsi="Times New Roman" w:cs="Times New Roman"/>
          <w:sz w:val="26"/>
          <w:szCs w:val="26"/>
        </w:rPr>
        <w:t>-</w:t>
      </w:r>
      <w:hyperlink r:id="rId21" w:history="1">
        <w:r w:rsidRPr="00C54C90">
          <w:rPr>
            <w:rStyle w:val="a4"/>
            <w:rFonts w:ascii="Times New Roman" w:hAnsi="Times New Roman" w:cs="Times New Roman"/>
            <w:sz w:val="26"/>
            <w:szCs w:val="26"/>
          </w:rPr>
          <w:t>https://www.nalog.gov.ru/rn77/about_fts/docs/14112652/</w:t>
        </w:r>
      </w:hyperlink>
      <w:r w:rsidRPr="00C54C90">
        <w:rPr>
          <w:rFonts w:ascii="Times New Roman" w:hAnsi="Times New Roman" w:cs="Times New Roman"/>
          <w:sz w:val="26"/>
          <w:szCs w:val="26"/>
        </w:rPr>
        <w:t>,</w:t>
      </w:r>
    </w:p>
    <w:p w:rsidR="00AC6CCC" w:rsidRPr="00C54C90" w:rsidRDefault="00AC6CCC" w:rsidP="00AC6CCC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4C90">
        <w:rPr>
          <w:rFonts w:ascii="Times New Roman" w:hAnsi="Times New Roman" w:cs="Times New Roman"/>
          <w:sz w:val="26"/>
          <w:szCs w:val="26"/>
        </w:rPr>
        <w:t>-</w:t>
      </w:r>
      <w:hyperlink r:id="rId22" w:history="1">
        <w:r w:rsidRPr="00167EA4">
          <w:rPr>
            <w:rStyle w:val="a4"/>
            <w:rFonts w:ascii="Times New Roman" w:hAnsi="Times New Roman" w:cs="Times New Roman"/>
            <w:sz w:val="26"/>
            <w:szCs w:val="26"/>
          </w:rPr>
          <w:t>https://www.nalog.gov.ru/rn77/about_fts/docs/14112883/</w:t>
        </w:r>
      </w:hyperlink>
      <w:r w:rsidRPr="00C54C90">
        <w:rPr>
          <w:rFonts w:ascii="Times New Roman" w:hAnsi="Times New Roman" w:cs="Times New Roman"/>
          <w:sz w:val="26"/>
          <w:szCs w:val="26"/>
        </w:rPr>
        <w:t>.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182897" w:rsidRPr="00905883" w:rsidRDefault="00182897" w:rsidP="0090588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F733B9" w:rsidRPr="00905883" w:rsidRDefault="00F733B9" w:rsidP="00905883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905883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F733B9" w:rsidRPr="00905883" w:rsidRDefault="00F733B9" w:rsidP="00905883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182897" w:rsidRPr="00905883" w:rsidRDefault="00182897" w:rsidP="009058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78B" w:rsidRDefault="0059778B" w:rsidP="00182897">
      <w:pPr>
        <w:spacing w:after="0" w:line="240" w:lineRule="auto"/>
      </w:pPr>
      <w:r>
        <w:separator/>
      </w:r>
    </w:p>
  </w:endnote>
  <w:endnote w:type="continuationSeparator" w:id="0">
    <w:p w:rsidR="0059778B" w:rsidRDefault="0059778B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78B" w:rsidRDefault="0059778B" w:rsidP="00182897">
      <w:pPr>
        <w:spacing w:after="0" w:line="240" w:lineRule="auto"/>
      </w:pPr>
      <w:r>
        <w:separator/>
      </w:r>
    </w:p>
  </w:footnote>
  <w:footnote w:type="continuationSeparator" w:id="0">
    <w:p w:rsidR="0059778B" w:rsidRDefault="0059778B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3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19"/>
  </w:num>
  <w:num w:numId="5">
    <w:abstractNumId w:val="2"/>
  </w:num>
  <w:num w:numId="6">
    <w:abstractNumId w:val="5"/>
  </w:num>
  <w:num w:numId="7">
    <w:abstractNumId w:val="21"/>
  </w:num>
  <w:num w:numId="8">
    <w:abstractNumId w:val="15"/>
  </w:num>
  <w:num w:numId="9">
    <w:abstractNumId w:val="17"/>
  </w:num>
  <w:num w:numId="10">
    <w:abstractNumId w:val="13"/>
  </w:num>
  <w:num w:numId="11">
    <w:abstractNumId w:val="10"/>
  </w:num>
  <w:num w:numId="12">
    <w:abstractNumId w:val="20"/>
  </w:num>
  <w:num w:numId="13">
    <w:abstractNumId w:val="14"/>
  </w:num>
  <w:num w:numId="14">
    <w:abstractNumId w:val="12"/>
  </w:num>
  <w:num w:numId="15">
    <w:abstractNumId w:val="8"/>
  </w:num>
  <w:num w:numId="16">
    <w:abstractNumId w:val="3"/>
  </w:num>
  <w:num w:numId="17">
    <w:abstractNumId w:val="4"/>
  </w:num>
  <w:num w:numId="18">
    <w:abstractNumId w:val="9"/>
  </w:num>
  <w:num w:numId="19">
    <w:abstractNumId w:val="7"/>
  </w:num>
  <w:num w:numId="20">
    <w:abstractNumId w:val="11"/>
  </w:num>
  <w:num w:numId="21">
    <w:abstractNumId w:val="1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167EA4"/>
    <w:rsid w:val="00182897"/>
    <w:rsid w:val="001B57EB"/>
    <w:rsid w:val="003A2971"/>
    <w:rsid w:val="0041637C"/>
    <w:rsid w:val="00547B52"/>
    <w:rsid w:val="0059778B"/>
    <w:rsid w:val="005B70AD"/>
    <w:rsid w:val="005F7DF8"/>
    <w:rsid w:val="00694A20"/>
    <w:rsid w:val="0073182F"/>
    <w:rsid w:val="0079073E"/>
    <w:rsid w:val="00905883"/>
    <w:rsid w:val="00AC6CCC"/>
    <w:rsid w:val="00F0575B"/>
    <w:rsid w:val="00F733B9"/>
    <w:rsid w:val="00FA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3E40F"/>
  <w15:docId w15:val="{988AE420-DADA-4272-B298-A3A77AF6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0001202407040005" TargetMode="External"/><Relationship Id="rId13" Type="http://schemas.openxmlformats.org/officeDocument/2006/relationships/hyperlink" Target="https://service.nalog.ru/payment/" TargetMode="External"/><Relationship Id="rId18" Type="http://schemas.openxmlformats.org/officeDocument/2006/relationships/hyperlink" Target="https://www.nalog.gov.ru/rn77/about_fts/docs/14110792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alog.gov.ru/rn77/about_fts/docs/14112652/" TargetMode="External"/><Relationship Id="rId7" Type="http://schemas.openxmlformats.org/officeDocument/2006/relationships/hyperlink" Target="https://telemost.yandex.ru/j/75731474086497" TargetMode="External"/><Relationship Id="rId12" Type="http://schemas.openxmlformats.org/officeDocument/2006/relationships/hyperlink" Target="https://www.nalog.gov.ru/rn77/taxation/taxes/dec/" TargetMode="External"/><Relationship Id="rId17" Type="http://schemas.openxmlformats.org/officeDocument/2006/relationships/hyperlink" Target="https://www.nalog.gov.ru/rn77/taxation/reference_work/taxmoni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alog.gov.ru/rn77/about_fts/about_nalog/15042059/" TargetMode="External"/><Relationship Id="rId20" Type="http://schemas.openxmlformats.org/officeDocument/2006/relationships/hyperlink" Target="https://www.nalog.gov.ru/rn77/about_fts/docs/14112778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msp.nalog.ru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lkip2.nalog.ru/l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msp.nalog.ru/" TargetMode="External"/><Relationship Id="rId19" Type="http://schemas.openxmlformats.org/officeDocument/2006/relationships/hyperlink" Target="https://www.nalog.gov.ru/rn77/about_fts/docs/1411294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log.gov.ru/rn77/taxation/reference_work/taxmonit/" TargetMode="External"/><Relationship Id="rId14" Type="http://schemas.openxmlformats.org/officeDocument/2006/relationships/hyperlink" Target="https://lkfl2.nalog.ru/lkfl" TargetMode="External"/><Relationship Id="rId22" Type="http://schemas.openxmlformats.org/officeDocument/2006/relationships/hyperlink" Target="https://www.nalog.gov.ru/rn77/about_fts/docs/1411288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2707</Words>
  <Characters>15433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19</cp:revision>
  <dcterms:created xsi:type="dcterms:W3CDTF">2024-06-30T17:27:00Z</dcterms:created>
  <dcterms:modified xsi:type="dcterms:W3CDTF">2024-07-15T11:05:00Z</dcterms:modified>
</cp:coreProperties>
</file>