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905883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905883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54549F" w:rsidRDefault="0054549F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54549F">
        <w:rPr>
          <w:b w:val="0"/>
          <w:bCs w:val="0"/>
          <w:sz w:val="28"/>
          <w:szCs w:val="28"/>
        </w:rPr>
        <w:t>05</w:t>
      </w:r>
      <w:r w:rsidR="00547B52" w:rsidRPr="0054549F">
        <w:rPr>
          <w:b w:val="0"/>
          <w:bCs w:val="0"/>
          <w:sz w:val="28"/>
          <w:szCs w:val="28"/>
        </w:rPr>
        <w:t xml:space="preserve"> </w:t>
      </w:r>
      <w:r w:rsidRPr="0054549F">
        <w:rPr>
          <w:b w:val="0"/>
          <w:bCs w:val="0"/>
          <w:sz w:val="28"/>
          <w:szCs w:val="28"/>
        </w:rPr>
        <w:t>сентября</w:t>
      </w:r>
      <w:r w:rsidR="00547B52" w:rsidRPr="0054549F">
        <w:rPr>
          <w:b w:val="0"/>
          <w:bCs w:val="0"/>
          <w:sz w:val="28"/>
          <w:szCs w:val="28"/>
        </w:rPr>
        <w:t xml:space="preserve">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547B52" w:rsidRPr="0054549F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549F" w:rsidRPr="0054549F" w:rsidRDefault="00ED4C39" w:rsidP="0054549F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54549F" w:rsidRPr="0054549F">
          <w:rPr>
            <w:rStyle w:val="a4"/>
            <w:rFonts w:ascii="Times New Roman" w:hAnsi="Times New Roman" w:cs="Times New Roman"/>
            <w:sz w:val="28"/>
            <w:szCs w:val="28"/>
          </w:rPr>
          <w:t>https://telemost.yandex.ru/j/42024134299713</w:t>
        </w:r>
      </w:hyperlink>
    </w:p>
    <w:p w:rsidR="00547B52" w:rsidRPr="0054549F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54549F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547B52" w:rsidRPr="0054549F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54549F">
        <w:rPr>
          <w:b w:val="0"/>
          <w:bCs w:val="0"/>
          <w:sz w:val="28"/>
          <w:szCs w:val="28"/>
        </w:rPr>
        <w:t xml:space="preserve">на электронную почту: </w:t>
      </w:r>
      <w:hyperlink r:id="rId8" w:history="1">
        <w:r w:rsidRPr="00ED4C39">
          <w:rPr>
            <w:rStyle w:val="a4"/>
            <w:b w:val="0"/>
            <w:bCs w:val="0"/>
            <w:sz w:val="28"/>
            <w:szCs w:val="28"/>
          </w:rPr>
          <w:t>ORN.r8602@tax.gov</w:t>
        </w:r>
      </w:hyperlink>
      <w:r w:rsidRPr="0054549F">
        <w:rPr>
          <w:b w:val="0"/>
          <w:bCs w:val="0"/>
          <w:sz w:val="28"/>
          <w:szCs w:val="28"/>
        </w:rPr>
        <w:t>.</w:t>
      </w:r>
    </w:p>
    <w:p w:rsidR="00547B52" w:rsidRPr="00905883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6B7B58" w:rsidRDefault="006B7B58" w:rsidP="00336B40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36B40">
        <w:rPr>
          <w:bCs w:val="0"/>
          <w:sz w:val="28"/>
          <w:szCs w:val="28"/>
        </w:rPr>
        <w:t>С 2025 года изменяется порядок направления сообщений об исчисленных налоговыми органами налогах на имущество организаций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В отношении транспортного и земельного налогов, а также налога на имущество, налоговая база по которому определяется как кадастровая стоимость, налоговые органы </w:t>
      </w:r>
      <w:hyperlink r:id="rId9" w:anchor="block_3634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направляют</w:t>
        </w:r>
      </w:hyperlink>
      <w:r w:rsidRPr="00336B40">
        <w:rPr>
          <w:sz w:val="28"/>
          <w:szCs w:val="28"/>
        </w:rPr>
        <w:t> организациям </w:t>
      </w:r>
      <w:hyperlink r:id="rId10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сообщения</w:t>
        </w:r>
      </w:hyperlink>
      <w:r w:rsidRPr="00336B40">
        <w:rPr>
          <w:sz w:val="28"/>
          <w:szCs w:val="28"/>
        </w:rPr>
        <w:t> об исчисленных суммах.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По общему </w:t>
      </w:r>
      <w:hyperlink r:id="rId11" w:anchor="block_36341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правилу</w:t>
        </w:r>
      </w:hyperlink>
      <w:r w:rsidRPr="00336B40">
        <w:rPr>
          <w:sz w:val="28"/>
          <w:szCs w:val="28"/>
        </w:rPr>
        <w:t>, такие сообщения направляются не позднее шести месяцев со дня истечения установленного срока уплаты налогов организаций за истекший налогов</w:t>
      </w:r>
      <w:bookmarkStart w:id="0" w:name="_GoBack"/>
      <w:bookmarkEnd w:id="0"/>
      <w:r w:rsidRPr="00336B40">
        <w:rPr>
          <w:sz w:val="28"/>
          <w:szCs w:val="28"/>
        </w:rPr>
        <w:t>ый период.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В отношении организаций, которые находятся в процессе ликвидации, </w:t>
      </w:r>
      <w:hyperlink r:id="rId12" w:anchor="block_36343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предусмотрено</w:t>
        </w:r>
      </w:hyperlink>
      <w:r w:rsidRPr="00336B40">
        <w:rPr>
          <w:sz w:val="28"/>
          <w:szCs w:val="28"/>
        </w:rPr>
        <w:t> исключение из указанного правила. Для таких лиц сообщения направляются не позднее трех месяцев со дня получения налоговым органом сведений в ЕГРЮЛ о том, что юрлицо находится в процессе ликвидации. Затем им отправляются сообщения не позднее месяца со дня истечения установленного срока уплаты авансового платежа по налогам по окончании каждого отчетного периода.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С 2025 года указанный порядок </w:t>
      </w:r>
      <w:hyperlink r:id="rId13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распространен</w:t>
        </w:r>
      </w:hyperlink>
      <w:r w:rsidRPr="00336B40">
        <w:rPr>
          <w:sz w:val="28"/>
          <w:szCs w:val="28"/>
        </w:rPr>
        <w:t> на организации, в отношении которых в ЕГРЮЛ внесена запись о возбуждении производства по делу о банкротстве, а также на юрлиц, в отношении которых принято решение о предстоящем исключении из этого реестра. Это позволит направлять сообщения и более оперативно учитывать указанные в нем суммы налогов на имущество (авансовых платежей) в совокупной обязанности на едином налоговом счете за истекшие отчетные периоды в течение года, в котором в ЕГРЮЛ внесены соответствующие сведения.</w:t>
      </w:r>
    </w:p>
    <w:p w:rsidR="00D33B47" w:rsidRPr="00336B40" w:rsidRDefault="00D33B47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36B40">
        <w:rPr>
          <w:bCs w:val="0"/>
          <w:sz w:val="28"/>
          <w:szCs w:val="28"/>
        </w:rPr>
        <w:lastRenderedPageBreak/>
        <w:t>Как в кассовом чеке указывать цену товара с учетом бонусов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По </w:t>
      </w:r>
      <w:hyperlink r:id="rId14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общему правилу</w:t>
        </w:r>
      </w:hyperlink>
      <w:r w:rsidRPr="00336B40">
        <w:rPr>
          <w:sz w:val="28"/>
          <w:szCs w:val="28"/>
        </w:rPr>
        <w:t> при расчетах за товары, работы или услуги продавец должен применять кассу за исключением некоторых случаев, например, торговля в отдаленных и труднодоступных местностях, продажа газет и журналов и др.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Цена товара отражается в чеке с учетом всех предоставленных скидок, в том числе бонусов.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Так как </w:t>
      </w:r>
      <w:hyperlink r:id="rId15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оплата бонусами</w:t>
        </w:r>
      </w:hyperlink>
      <w:r w:rsidRPr="00336B40">
        <w:rPr>
          <w:sz w:val="28"/>
          <w:szCs w:val="28"/>
        </w:rPr>
        <w:t> – это индивидуальная скидка для конкретного покупателя, такую информацию можно указывать в чеке отдельно: сначала показать полную цену, затем сумму используемых бонусов и окончательную стоимость.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Однако оплату товара бонусами также можно рассматривать как расчет иным встречным предоставлением. Условием получения бонусов является совершение покупателем определенных действий, например, ранее купить товары на определенную сумму. Так у продавца появляется встречное обязательство перед покупателем. Поэтому получение покупателем товаров (работ, услуг) за бонусы расценивается как заключение договора купли-продажи. В этом случае бонус – это не скидка, а иное встречное предоставление. Если физлицо оплачивает товар бонусами, цена товара не меняется. Сумма, уплаченная бонусами, отражается в кассовом чеке как «сумма по чеку встречным предоставлением» (тег 1217).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Таким образом, продавец имеет два способа правильного отражения продаж с оплатой бонусами. Подробности вебинара с участием заместителя начальника Управления оперативного контроля </w:t>
      </w:r>
      <w:r w:rsidRPr="00336B40">
        <w:rPr>
          <w:rStyle w:val="a5"/>
          <w:sz w:val="28"/>
          <w:szCs w:val="28"/>
        </w:rPr>
        <w:t>Александра Сорокина</w:t>
      </w:r>
      <w:r w:rsidRPr="00336B40">
        <w:rPr>
          <w:sz w:val="28"/>
          <w:szCs w:val="28"/>
        </w:rPr>
        <w:t> читайте в журнале «</w:t>
      </w:r>
      <w:hyperlink r:id="rId16" w:tgtFrame="_blank" w:history="1">
        <w:r w:rsidRPr="00336B40">
          <w:rPr>
            <w:rStyle w:val="a4"/>
            <w:color w:val="auto"/>
            <w:sz w:val="28"/>
            <w:szCs w:val="28"/>
          </w:rPr>
          <w:t>Налоговая политика и практика</w:t>
        </w:r>
      </w:hyperlink>
      <w:r w:rsidRPr="00336B40">
        <w:rPr>
          <w:sz w:val="28"/>
          <w:szCs w:val="28"/>
        </w:rPr>
        <w:t>» за август 2024 года.</w:t>
      </w: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36B40">
        <w:rPr>
          <w:bCs w:val="0"/>
          <w:sz w:val="28"/>
          <w:szCs w:val="28"/>
        </w:rPr>
        <w:t>Более 12 млн электронных подписей для юридических лиц и индивидуальных предпринимателей выпущено в Удостоверяющем центре ФНС России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Более 12 млн предпринимателей и организаций получили электронную подпись в Удостоверяющем центре ФНС России с 1 июля 2021 года. В среднем ежедневно по стране выпускается более 30 тысяч электронных подписей.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Получить электронную подпись можно как лично в территориальных налоговых органах, предоставляющих данную услугу, или в офисах доверенных лиц УЦ ФНС России, так и дистанционно - с помощью Единой системы идентификации и аутентификации и Единой биометрической системы.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 xml:space="preserve">Перевыпустить электронную подпись без личной явки в налоговый орган можно с помощью сервиса «Личный кабинет налогоплательщика». Сделать это могут ЮЛ и ИП, ранее получившие электронную подпись в УЦ ФНС России или у его доверенных лиц. В личном кабинете организации заявление можно подать в разделе «Заявления. Запросы» – «Электронная подпись </w:t>
      </w:r>
      <w:r w:rsidRPr="00336B40">
        <w:rPr>
          <w:sz w:val="28"/>
          <w:szCs w:val="28"/>
        </w:rPr>
        <w:lastRenderedPageBreak/>
        <w:t>(КЭП)», в личном кабинете предпринимателя: в разделе «Услуги. Сервисы» – «Перевыпуск сертификата ЭП».</w:t>
      </w: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36B40">
        <w:rPr>
          <w:bCs w:val="0"/>
          <w:sz w:val="28"/>
          <w:szCs w:val="28"/>
        </w:rPr>
        <w:t>Где удобнее хранить электронные кассовые чеки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ФНС России напоминает, что кассовый чек – документ, который подтверждает факт приобретения товара или услуги между продавцом и покупателем. Он выдается на бумаге и/или направляется покупателю в электронной форме. При корректном оформлении последняя </w:t>
      </w:r>
      <w:hyperlink r:id="rId17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имеет такую же юридическую силу</w:t>
        </w:r>
      </w:hyperlink>
      <w:r w:rsidRPr="00336B40">
        <w:rPr>
          <w:sz w:val="28"/>
          <w:szCs w:val="28"/>
        </w:rPr>
        <w:t>, что и бумажная и также служит подтверждением расчета.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Для удобного получения и хранения электронных кассовых чеков ФНС России разработала специальный бесплатный сервис для покупателей - «</w:t>
      </w:r>
      <w:hyperlink r:id="rId18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Мои чеки онлайн</w:t>
        </w:r>
      </w:hyperlink>
      <w:r w:rsidRPr="00336B40">
        <w:rPr>
          <w:sz w:val="28"/>
          <w:szCs w:val="28"/>
        </w:rPr>
        <w:t>». Он отображает и хранит данные о чеках:</w:t>
      </w:r>
    </w:p>
    <w:p w:rsidR="00336B40" w:rsidRPr="00336B40" w:rsidRDefault="00336B40" w:rsidP="00336B40">
      <w:pPr>
        <w:numPr>
          <w:ilvl w:val="0"/>
          <w:numId w:val="4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6B40">
        <w:rPr>
          <w:rFonts w:ascii="Times New Roman" w:hAnsi="Times New Roman" w:cs="Times New Roman"/>
          <w:sz w:val="28"/>
          <w:szCs w:val="28"/>
        </w:rPr>
        <w:t>которые покупатель получил при покупке товаров (работ, услуг);</w:t>
      </w:r>
    </w:p>
    <w:p w:rsidR="00336B40" w:rsidRPr="00336B40" w:rsidRDefault="00336B40" w:rsidP="00336B40">
      <w:pPr>
        <w:numPr>
          <w:ilvl w:val="0"/>
          <w:numId w:val="4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6B40">
        <w:rPr>
          <w:rFonts w:ascii="Times New Roman" w:hAnsi="Times New Roman" w:cs="Times New Roman"/>
          <w:sz w:val="28"/>
          <w:szCs w:val="28"/>
        </w:rPr>
        <w:t>за онлайн-покупки;</w:t>
      </w:r>
    </w:p>
    <w:p w:rsidR="00336B40" w:rsidRPr="00336B40" w:rsidRDefault="00336B40" w:rsidP="00336B40">
      <w:pPr>
        <w:numPr>
          <w:ilvl w:val="0"/>
          <w:numId w:val="4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6B40">
        <w:rPr>
          <w:rFonts w:ascii="Times New Roman" w:hAnsi="Times New Roman" w:cs="Times New Roman"/>
          <w:sz w:val="28"/>
          <w:szCs w:val="28"/>
        </w:rPr>
        <w:t>которые были отсканированы в бесплатном приложении «Проверка чеков».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Можно тут и самостоятельно добавлять чеки - для этого нужно отсканировать QR-код, и он отобразится в вашем общем списке чеков. Кроме того, содержащиеся в приложении чеки удобно предъявлять для возврата товаров или гарантийного обслуживания.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Хранить и получать кассовые чеки можно и в мобильном приложении «Проверка чеков». Оно также позволяет проверить, передан ли чек в ФНС России. Для этого следует отсканировать QR-код или ввести его данные вручную и отправить запрос на проверку в ведомство. Результат отобразится на экране мобильного приложения. Оно также подсвечивает маркированные товары и позволяет узнать их статус в национальной системе маркировки. В случае некорректности или если чек не был выдан, пользователь может сообщить в ФНС России о нарушении.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36B40">
        <w:rPr>
          <w:sz w:val="28"/>
          <w:szCs w:val="28"/>
        </w:rPr>
        <w:t>Скачать мобильные приложения «</w:t>
      </w:r>
      <w:hyperlink r:id="rId19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Проверка чеков</w:t>
        </w:r>
      </w:hyperlink>
      <w:r w:rsidRPr="00336B40">
        <w:rPr>
          <w:sz w:val="28"/>
          <w:szCs w:val="28"/>
        </w:rPr>
        <w:t>» и «Мои чеки онлайн» можно в магазинах приложений RuStore, AppGallery, Google Play и AppStore. Последний также доступен на официальном сайте ФНС России </w:t>
      </w:r>
      <w:hyperlink r:id="rId20" w:tgtFrame="_blank" w:history="1">
        <w:r w:rsidRPr="00336B40">
          <w:rPr>
            <w:rStyle w:val="a4"/>
            <w:color w:val="auto"/>
            <w:sz w:val="28"/>
            <w:szCs w:val="28"/>
            <w:u w:val="none"/>
          </w:rPr>
          <w:t>по ссылке</w:t>
        </w:r>
      </w:hyperlink>
      <w:r w:rsidRPr="00336B40">
        <w:rPr>
          <w:sz w:val="28"/>
          <w:szCs w:val="28"/>
        </w:rPr>
        <w:t>.</w:t>
      </w: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336B40">
        <w:rPr>
          <w:bCs w:val="0"/>
          <w:spacing w:val="-15"/>
          <w:sz w:val="28"/>
          <w:szCs w:val="28"/>
        </w:rPr>
        <w:t>Как определяется налоговая база по земельному налогу, если изменились характеристики участка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Налоговая база по земельному налогу определяется как кадастровая стоимость земельного участка, внесенная в Единый государственный реестр недвижимости (ЕГРН).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При этом для налогового периода 2023 года действуют </w:t>
      </w:r>
      <w:hyperlink r:id="rId21" w:anchor="p_29793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особенности</w:t>
        </w:r>
      </w:hyperlink>
      <w:r w:rsidRPr="00336B40">
        <w:rPr>
          <w:sz w:val="28"/>
          <w:szCs w:val="28"/>
        </w:rPr>
        <w:t>: если кадастровая стоимость земельного участка, внесенная в ЕГРН и применяемая с 1 января 2023 года, превышает его кадастровую стоимость с 1 января 2022 года, то в качестве налоговой базы используется значение кадастровой стоимости за 2022 год.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 xml:space="preserve">Исключение — увеличение кадастровой стоимости при изменении характеристик земельного участка. Если такие изменения происходят в </w:t>
      </w:r>
      <w:r w:rsidRPr="00336B40">
        <w:rPr>
          <w:sz w:val="28"/>
          <w:szCs w:val="28"/>
        </w:rPr>
        <w:lastRenderedPageBreak/>
        <w:t>течение 2023 года, вновь установленная кадастровая стоимость применяется со дня внесения в ЕГРН изменений в характеристиках земельного участка: категории земель, значения площади и описания местоположения границ, разрешенного использования и др.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При этом в течение 2023 года сумма земельного налога </w:t>
      </w:r>
      <w:hyperlink r:id="rId22" w:anchor="block_396071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исчисляется</w:t>
        </w:r>
      </w:hyperlink>
      <w:r w:rsidRPr="00336B40">
        <w:rPr>
          <w:sz w:val="28"/>
          <w:szCs w:val="28"/>
        </w:rPr>
        <w:t> с учетом коэффициента, определяемого в порядке, аналогичном установленному </w:t>
      </w:r>
      <w:hyperlink r:id="rId23" w:anchor="block_39607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п. 7 ст. 396 НК РФ</w:t>
        </w:r>
      </w:hyperlink>
      <w:r w:rsidRPr="00336B40">
        <w:rPr>
          <w:sz w:val="28"/>
          <w:szCs w:val="28"/>
        </w:rPr>
        <w:t>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Таким образом, если кадастровая стоимость земельного участка, внесенная в ЕГРН и подлежащая применению с 1 января 2023 года, превышает его кадастровую стоимость с 1 января 2022 года, налоговая база в отношении земельного участка за 2023 год определяется как его кадастровая стоимость с 1 января 2022 года и до внесения в ЕГРН сведений, повлекших ее изменение в течение 2023 года.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Данные </w:t>
      </w:r>
      <w:hyperlink r:id="rId24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разъяснения</w:t>
        </w:r>
      </w:hyperlink>
      <w:r w:rsidRPr="00336B40">
        <w:rPr>
          <w:sz w:val="28"/>
          <w:szCs w:val="28"/>
        </w:rPr>
        <w:t> ФНС России согласованы письмом Минфина России от 13.08.2024 № 03-05-04-02/75887 и доведены до налоговых органов.</w:t>
      </w: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336B40">
        <w:rPr>
          <w:bCs w:val="0"/>
          <w:spacing w:val="-15"/>
          <w:sz w:val="28"/>
          <w:szCs w:val="28"/>
        </w:rPr>
        <w:t>Расширен перечень операций, освобождаемых от налогообложения налогом на добавленную стоимость</w:t>
      </w:r>
    </w:p>
    <w:p w:rsidR="00336B40" w:rsidRPr="00336B40" w:rsidRDefault="00ED4C39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hyperlink r:id="rId25" w:tgtFrame="_blank" w:history="1">
        <w:r w:rsidR="00336B40"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Федеральным законом от 08.08.2024 № 259-ФЗ</w:t>
        </w:r>
      </w:hyperlink>
      <w:r w:rsidR="00336B40" w:rsidRPr="00336B40">
        <w:rPr>
          <w:sz w:val="28"/>
          <w:szCs w:val="28"/>
        </w:rPr>
        <w:t> ««О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сборах» </w:t>
      </w:r>
      <w:hyperlink r:id="rId26" w:tgtFrame="_blank" w:history="1">
        <w:r w:rsidR="00336B40"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пункт 2 статьи 149 Налогового кодекса Российской Федерации</w:t>
        </w:r>
      </w:hyperlink>
      <w:r w:rsidR="00336B40" w:rsidRPr="00336B40">
        <w:rPr>
          <w:sz w:val="28"/>
          <w:szCs w:val="28"/>
        </w:rPr>
        <w:t> дополнен подпунктами 33.1 и 33.2, согласно которым не подлежит налогообложению (освобождается от налогообложения) налогом на добавленную стоимость реализация на территории Российской Федерации услуг по предоставлению в аренду автомобилей скорой медицинской помощи с экипажем (водителем) медицинским организациям государственной и муниципальной системы здравоохранения в целях оказания указанными медицинскими организациями услуг скорой медицинской помощи населению; услуг по перевозке автомобилями скорой медицинской помощи бригад скорой медицинской помощи, включая медицинскую эвакуацию граждан, по договорам с медицинскими организациями государственной и муниципальной системы здравоохранения в целях оказания указанными медицинскими организациями услуг скорой медицинской помощи населению.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Действие положений подпунктов 33.1 и 33.2 пункта 2 статьи 149 Кодекса распространяется на операции, осуществленные с 01.01.2020.</w:t>
      </w: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36B40" w:rsidRPr="00336B40" w:rsidRDefault="00336B40" w:rsidP="00336B40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336B40">
        <w:rPr>
          <w:bCs w:val="0"/>
          <w:spacing w:val="-15"/>
          <w:sz w:val="28"/>
          <w:szCs w:val="28"/>
        </w:rPr>
        <w:t>Отменена госпошлина за повторную выдачу свидетельства ИНН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За повторную выдачу свидетельства о постановке на учет в налоговом органе теперь не нужно уплачивать госпошлину. Ранее в случае его утраты необходимо было уплатить госпошлину и приложить квитанцию об этом к заявлению о постановке на учет.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lastRenderedPageBreak/>
        <w:t>Отмена госпошлины упрощает данную процедуру: достаточно предоставить в любой налоговый орган, обслуживающий физических лиц, заявление о постановке на учет в налоговом органе по форме 2-2-Учет и документ, удостоверяющий личность и подтверждающий регистрацию по месту жительства или места пребывания. Его можно подать лично или через представителя, МФЦ, а также по почте заказным письмом. Повторная выдача свидетельства осуществляется в течение пяти рабочих дней.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С помощью сервиса «</w:t>
      </w:r>
      <w:hyperlink r:id="rId27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Подача заявления физического лица о постановке на учет</w:t>
        </w:r>
      </w:hyperlink>
      <w:r w:rsidRPr="00336B40">
        <w:rPr>
          <w:sz w:val="28"/>
          <w:szCs w:val="28"/>
        </w:rPr>
        <w:t>» готовое свидетельство можно получить уже на следующий рабочий день в выбранной налоговой инспекции.</w:t>
      </w:r>
    </w:p>
    <w:p w:rsidR="00336B40" w:rsidRPr="00336B40" w:rsidRDefault="00ED4C39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hyperlink r:id="rId28" w:tgtFrame="_blank" w:history="1">
        <w:r w:rsidR="00336B40"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Пользователи Личного кабинета налогоплательщика</w:t>
        </w:r>
      </w:hyperlink>
      <w:r w:rsidR="00336B40" w:rsidRPr="00336B40">
        <w:rPr>
          <w:sz w:val="28"/>
          <w:szCs w:val="28"/>
        </w:rPr>
        <w:t> могут получить свидетельство в электронном виде в формате pdf с визуализированной электронной подписью налогового органа.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На </w:t>
      </w:r>
      <w:hyperlink r:id="rId29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портале Госуслуг</w:t>
        </w:r>
      </w:hyperlink>
      <w:r w:rsidRPr="00336B40">
        <w:rPr>
          <w:sz w:val="28"/>
          <w:szCs w:val="28"/>
        </w:rPr>
        <w:t> также реализована возможность получения свидетельства о постановке на учет в налоговом органе в электронном виде. Его пользователи могут направить в налоговый орган заявление, подписав усиленной неквалифицированной электронной подписью, которую можно сгенерировать в </w:t>
      </w:r>
      <w:hyperlink r:id="rId30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мобильном приложении «Госключ»</w:t>
        </w:r>
      </w:hyperlink>
      <w:r w:rsidRPr="00336B40">
        <w:rPr>
          <w:sz w:val="28"/>
          <w:szCs w:val="28"/>
        </w:rPr>
        <w:t>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Сведения о присвоенном ИНН можно узнать с помощью интернет-сервиса «</w:t>
      </w:r>
      <w:hyperlink r:id="rId31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Сведения об ИНН физического лица</w:t>
        </w:r>
      </w:hyperlink>
      <w:r w:rsidRPr="00336B40">
        <w:rPr>
          <w:sz w:val="28"/>
          <w:szCs w:val="28"/>
        </w:rPr>
        <w:t>».</w:t>
      </w:r>
    </w:p>
    <w:p w:rsidR="00336B40" w:rsidRPr="00336B40" w:rsidRDefault="00336B40" w:rsidP="00336B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36B40">
        <w:rPr>
          <w:sz w:val="28"/>
          <w:szCs w:val="28"/>
        </w:rPr>
        <w:t>Соответствующие изменения вступили в силу с 8 августа – даты подписания и </w:t>
      </w:r>
      <w:hyperlink r:id="rId32" w:tgtFrame="_blank" w:history="1">
        <w:r w:rsidRPr="00336B40">
          <w:rPr>
            <w:rStyle w:val="a4"/>
            <w:color w:val="auto"/>
            <w:sz w:val="28"/>
            <w:szCs w:val="28"/>
            <w:bdr w:val="none" w:sz="0" w:space="0" w:color="auto" w:frame="1"/>
          </w:rPr>
          <w:t>публикации Федерального закона от 08.08.2024 № 259-ФЗ</w:t>
        </w:r>
      </w:hyperlink>
      <w:r w:rsidRPr="00336B40">
        <w:rPr>
          <w:sz w:val="28"/>
          <w:szCs w:val="28"/>
        </w:rPr>
        <w:t>.</w:t>
      </w:r>
    </w:p>
    <w:p w:rsidR="00307506" w:rsidRDefault="00307506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D33B47" w:rsidRPr="00905883" w:rsidRDefault="00D33B47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F733B9" w:rsidRPr="00905883" w:rsidRDefault="00F733B9" w:rsidP="00212548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E10066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A28" w:rsidRDefault="00B64A28" w:rsidP="00182897">
      <w:pPr>
        <w:spacing w:after="0" w:line="240" w:lineRule="auto"/>
      </w:pPr>
      <w:r>
        <w:separator/>
      </w:r>
    </w:p>
  </w:endnote>
  <w:endnote w:type="continuationSeparator" w:id="0">
    <w:p w:rsidR="00B64A28" w:rsidRDefault="00B64A28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A28" w:rsidRDefault="00B64A28" w:rsidP="00182897">
      <w:pPr>
        <w:spacing w:after="0" w:line="240" w:lineRule="auto"/>
      </w:pPr>
      <w:r>
        <w:separator/>
      </w:r>
    </w:p>
  </w:footnote>
  <w:footnote w:type="continuationSeparator" w:id="0">
    <w:p w:rsidR="00B64A28" w:rsidRDefault="00B64A28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DE62F5"/>
    <w:multiLevelType w:val="multilevel"/>
    <w:tmpl w:val="27D4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A65F6C"/>
    <w:multiLevelType w:val="multilevel"/>
    <w:tmpl w:val="1800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2F43C9"/>
    <w:multiLevelType w:val="multilevel"/>
    <w:tmpl w:val="74985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323D02"/>
    <w:multiLevelType w:val="multilevel"/>
    <w:tmpl w:val="8E14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1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E8B647B"/>
    <w:multiLevelType w:val="multilevel"/>
    <w:tmpl w:val="0CB4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A541E4"/>
    <w:multiLevelType w:val="multilevel"/>
    <w:tmpl w:val="F5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0B04B4"/>
    <w:multiLevelType w:val="multilevel"/>
    <w:tmpl w:val="3634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80017D"/>
    <w:multiLevelType w:val="multilevel"/>
    <w:tmpl w:val="A008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9D4DDA"/>
    <w:multiLevelType w:val="multilevel"/>
    <w:tmpl w:val="E56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A62502"/>
    <w:multiLevelType w:val="multilevel"/>
    <w:tmpl w:val="EFB8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322BCB"/>
    <w:multiLevelType w:val="multilevel"/>
    <w:tmpl w:val="9326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27"/>
  </w:num>
  <w:num w:numId="5">
    <w:abstractNumId w:val="3"/>
  </w:num>
  <w:num w:numId="6">
    <w:abstractNumId w:val="12"/>
  </w:num>
  <w:num w:numId="7">
    <w:abstractNumId w:val="34"/>
  </w:num>
  <w:num w:numId="8">
    <w:abstractNumId w:val="23"/>
  </w:num>
  <w:num w:numId="9">
    <w:abstractNumId w:val="25"/>
  </w:num>
  <w:num w:numId="10">
    <w:abstractNumId w:val="21"/>
  </w:num>
  <w:num w:numId="11">
    <w:abstractNumId w:val="18"/>
  </w:num>
  <w:num w:numId="12">
    <w:abstractNumId w:val="30"/>
  </w:num>
  <w:num w:numId="13">
    <w:abstractNumId w:val="22"/>
  </w:num>
  <w:num w:numId="14">
    <w:abstractNumId w:val="20"/>
  </w:num>
  <w:num w:numId="15">
    <w:abstractNumId w:val="15"/>
  </w:num>
  <w:num w:numId="16">
    <w:abstractNumId w:val="4"/>
  </w:num>
  <w:num w:numId="17">
    <w:abstractNumId w:val="5"/>
  </w:num>
  <w:num w:numId="18">
    <w:abstractNumId w:val="16"/>
  </w:num>
  <w:num w:numId="19">
    <w:abstractNumId w:val="14"/>
  </w:num>
  <w:num w:numId="20">
    <w:abstractNumId w:val="19"/>
  </w:num>
  <w:num w:numId="21">
    <w:abstractNumId w:val="26"/>
  </w:num>
  <w:num w:numId="22">
    <w:abstractNumId w:val="24"/>
  </w:num>
  <w:num w:numId="23">
    <w:abstractNumId w:val="31"/>
  </w:num>
  <w:num w:numId="24">
    <w:abstractNumId w:val="0"/>
  </w:num>
  <w:num w:numId="25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11"/>
  </w:num>
  <w:num w:numId="27">
    <w:abstractNumId w:val="38"/>
  </w:num>
  <w:num w:numId="28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0"/>
  </w:num>
  <w:num w:numId="30">
    <w:abstractNumId w:val="39"/>
  </w:num>
  <w:num w:numId="31">
    <w:abstractNumId w:val="39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2">
    <w:abstractNumId w:val="9"/>
  </w:num>
  <w:num w:numId="33">
    <w:abstractNumId w:val="37"/>
  </w:num>
  <w:num w:numId="34">
    <w:abstractNumId w:val="8"/>
  </w:num>
  <w:num w:numId="35">
    <w:abstractNumId w:val="6"/>
  </w:num>
  <w:num w:numId="36">
    <w:abstractNumId w:val="36"/>
  </w:num>
  <w:num w:numId="37">
    <w:abstractNumId w:val="28"/>
  </w:num>
  <w:num w:numId="38">
    <w:abstractNumId w:val="33"/>
  </w:num>
  <w:num w:numId="39">
    <w:abstractNumId w:val="2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0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182897"/>
    <w:rsid w:val="001B57EB"/>
    <w:rsid w:val="00212548"/>
    <w:rsid w:val="00307506"/>
    <w:rsid w:val="00336B40"/>
    <w:rsid w:val="003A2971"/>
    <w:rsid w:val="0041637C"/>
    <w:rsid w:val="0054549F"/>
    <w:rsid w:val="00547B52"/>
    <w:rsid w:val="005B70AD"/>
    <w:rsid w:val="005F7DF8"/>
    <w:rsid w:val="006B7B58"/>
    <w:rsid w:val="0073182F"/>
    <w:rsid w:val="0079073E"/>
    <w:rsid w:val="007D2EB9"/>
    <w:rsid w:val="008A14BC"/>
    <w:rsid w:val="008F0C31"/>
    <w:rsid w:val="00905883"/>
    <w:rsid w:val="00972264"/>
    <w:rsid w:val="00AC6CCC"/>
    <w:rsid w:val="00B64A28"/>
    <w:rsid w:val="00D33B47"/>
    <w:rsid w:val="00D516CF"/>
    <w:rsid w:val="00D62D4B"/>
    <w:rsid w:val="00E10066"/>
    <w:rsid w:val="00EA2F99"/>
    <w:rsid w:val="00ED4C39"/>
    <w:rsid w:val="00F0575B"/>
    <w:rsid w:val="00F7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14160"/>
  <w15:docId w15:val="{9A9C5BA4-04A5-4262-BA00-2F610096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26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77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76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4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8975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18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9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03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1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8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09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5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53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81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57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70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0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83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6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5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9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9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4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414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1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01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11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664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7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91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49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0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051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5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93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19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76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44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434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8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1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0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323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18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0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2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1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376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3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86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09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224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99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8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3418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6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3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0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393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0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3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9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589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79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74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986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2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163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1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694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5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3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0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8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7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99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834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3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4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7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4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8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36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1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1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77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097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48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10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84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77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183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02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71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1536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09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807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4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987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ublication.pravo.gov.ru/document/0001202408080089" TargetMode="External"/><Relationship Id="rId18" Type="http://schemas.openxmlformats.org/officeDocument/2006/relationships/hyperlink" Target="https://lkdr.nalog.ru/login" TargetMode="External"/><Relationship Id="rId26" Type="http://schemas.openxmlformats.org/officeDocument/2006/relationships/hyperlink" Target="https://nalog.garant.ru/fns/nk/11e2106fa4ec328ea2d88df540010b52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alog.garant.ru/fns/nk/5e8d85f184efe4d53f7674c8a4638260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telemost.yandex.ru/j/42024134299713" TargetMode="External"/><Relationship Id="rId12" Type="http://schemas.openxmlformats.org/officeDocument/2006/relationships/hyperlink" Target="http://nalog.garant.ru/fns/nk/e81ed60809cf1ddedca7e8e92a454f7b/" TargetMode="External"/><Relationship Id="rId17" Type="http://schemas.openxmlformats.org/officeDocument/2006/relationships/hyperlink" Target="https://www.nalog.gov.ru/rn77/about_fts/docs/3909988/" TargetMode="External"/><Relationship Id="rId25" Type="http://schemas.openxmlformats.org/officeDocument/2006/relationships/hyperlink" Target="http://publication.pravo.gov.ru/document/0001202408080089?ysclid=m00rgp0wu7159213912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alogkodeks.ru/" TargetMode="External"/><Relationship Id="rId20" Type="http://schemas.openxmlformats.org/officeDocument/2006/relationships/hyperlink" Target="https://lkdr.nalog.ru/login" TargetMode="External"/><Relationship Id="rId29" Type="http://schemas.openxmlformats.org/officeDocument/2006/relationships/hyperlink" Target="https://www.gosuslugi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log.garant.ru/fns/nk/e81ed60809cf1ddedca7e8e92a454f7b/" TargetMode="External"/><Relationship Id="rId24" Type="http://schemas.openxmlformats.org/officeDocument/2006/relationships/hyperlink" Target="https://www.nalog.gov.ru/rn77/about_fts/about_nalog/15153005/" TargetMode="External"/><Relationship Id="rId32" Type="http://schemas.openxmlformats.org/officeDocument/2006/relationships/hyperlink" Target="http://publication.pravo.gov.ru/document/000120240808008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arant.ru/products/ipo/prime/doc/71674592/" TargetMode="External"/><Relationship Id="rId23" Type="http://schemas.openxmlformats.org/officeDocument/2006/relationships/hyperlink" Target="http://nalog.garant.ru/fns/nk/4477709aee548021b043184dadbd377a/" TargetMode="External"/><Relationship Id="rId28" Type="http://schemas.openxmlformats.org/officeDocument/2006/relationships/hyperlink" Target="https://lkfl2.nalog.ru/lkfl" TargetMode="External"/><Relationship Id="rId10" Type="http://schemas.openxmlformats.org/officeDocument/2006/relationships/hyperlink" Target="https://www.nalog.gov.ru/rn77/about_fts/docs/11216208/" TargetMode="External"/><Relationship Id="rId19" Type="http://schemas.openxmlformats.org/officeDocument/2006/relationships/hyperlink" Target="https://kkt-online.nalog.ru/" TargetMode="External"/><Relationship Id="rId31" Type="http://schemas.openxmlformats.org/officeDocument/2006/relationships/hyperlink" Target="https://service.nalog.ru/inn.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log.garant.ru/fns/nk/e81ed60809cf1ddedca7e8e92a454f7b/" TargetMode="External"/><Relationship Id="rId14" Type="http://schemas.openxmlformats.org/officeDocument/2006/relationships/hyperlink" Target="https://www.consultant.ru/document/cons_doc_LAW_42359/0c17a4091d18f33af58d3c20e17e1ac7f808242e/" TargetMode="External"/><Relationship Id="rId22" Type="http://schemas.openxmlformats.org/officeDocument/2006/relationships/hyperlink" Target="http://nalog.garant.ru/fns/nk/4477709aee548021b043184dadbd377a/" TargetMode="External"/><Relationship Id="rId27" Type="http://schemas.openxmlformats.org/officeDocument/2006/relationships/hyperlink" Target="https://service.nalog.ru/zpufl/" TargetMode="External"/><Relationship Id="rId30" Type="http://schemas.openxmlformats.org/officeDocument/2006/relationships/hyperlink" Target="https://goskey.ru/" TargetMode="External"/><Relationship Id="rId8" Type="http://schemas.openxmlformats.org/officeDocument/2006/relationships/hyperlink" Target="mailto:ORN.r8602@tax.g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33</cp:revision>
  <dcterms:created xsi:type="dcterms:W3CDTF">2024-06-30T17:27:00Z</dcterms:created>
  <dcterms:modified xsi:type="dcterms:W3CDTF">2024-09-03T09:21:00Z</dcterms:modified>
</cp:coreProperties>
</file>