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B52" w:rsidRDefault="00547B52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05883">
        <w:rPr>
          <w:sz w:val="28"/>
          <w:szCs w:val="28"/>
        </w:rPr>
        <w:t>Еженельный вебинар!</w:t>
      </w:r>
    </w:p>
    <w:p w:rsidR="00905883" w:rsidRPr="00905883" w:rsidRDefault="00905883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547B52" w:rsidRPr="00387EBF" w:rsidRDefault="00547B52" w:rsidP="00905883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387EBF">
        <w:rPr>
          <w:b w:val="0"/>
          <w:bCs w:val="0"/>
          <w:sz w:val="28"/>
          <w:szCs w:val="28"/>
        </w:rPr>
        <w:t>Налоговая инспекция по г. Сургуту приглашает налогоплательщиков на еженедельный вебинар, который проходит каждый четверг в 12:00 на площадке «Яндекс Телемост» по теме: «Вопросы и ответы по налогообложению, в том числе ЕНС».</w:t>
      </w:r>
    </w:p>
    <w:p w:rsidR="00547B52" w:rsidRPr="00387EBF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387EBF" w:rsidRDefault="00387EBF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387EBF">
        <w:rPr>
          <w:b w:val="0"/>
          <w:bCs w:val="0"/>
          <w:sz w:val="28"/>
          <w:szCs w:val="28"/>
        </w:rPr>
        <w:t>19</w:t>
      </w:r>
      <w:r w:rsidR="00547B52" w:rsidRPr="00387EBF">
        <w:rPr>
          <w:b w:val="0"/>
          <w:bCs w:val="0"/>
          <w:sz w:val="28"/>
          <w:szCs w:val="28"/>
        </w:rPr>
        <w:t xml:space="preserve"> </w:t>
      </w:r>
      <w:r w:rsidRPr="00387EBF">
        <w:rPr>
          <w:b w:val="0"/>
          <w:bCs w:val="0"/>
          <w:sz w:val="28"/>
          <w:szCs w:val="28"/>
        </w:rPr>
        <w:t>сентября</w:t>
      </w:r>
      <w:r w:rsidR="00547B52" w:rsidRPr="00387EBF">
        <w:rPr>
          <w:b w:val="0"/>
          <w:bCs w:val="0"/>
          <w:sz w:val="28"/>
          <w:szCs w:val="28"/>
        </w:rPr>
        <w:t xml:space="preserve"> 2024 года состоится очередной вебинар. Для подключения к онлайн-вебинар в 12:00 (по местному времени) необходимо перейти по ссылке:</w:t>
      </w:r>
    </w:p>
    <w:p w:rsidR="00547B52" w:rsidRPr="00387EBF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387EBF" w:rsidRPr="00387EBF" w:rsidRDefault="00387EBF" w:rsidP="00387EBF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387EB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https://telemost.yandex.ru/j/94124309696572</w:t>
        </w:r>
      </w:hyperlink>
    </w:p>
    <w:p w:rsidR="00547B52" w:rsidRPr="00387EBF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387EBF">
        <w:rPr>
          <w:b w:val="0"/>
          <w:bCs w:val="0"/>
          <w:sz w:val="28"/>
          <w:szCs w:val="28"/>
        </w:rPr>
        <w:t>Вопросы на вебинар можно направлять</w:t>
      </w:r>
    </w:p>
    <w:p w:rsidR="00547B52" w:rsidRPr="00387EBF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387EBF">
        <w:rPr>
          <w:b w:val="0"/>
          <w:bCs w:val="0"/>
          <w:sz w:val="28"/>
          <w:szCs w:val="28"/>
        </w:rPr>
        <w:t>на электронную почту: ORN.r8602@tax.gov.</w:t>
      </w:r>
    </w:p>
    <w:p w:rsidR="00547B52" w:rsidRPr="00905883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905883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Всегда рядом! ИФНС России по г. Сургуту</w:t>
      </w:r>
    </w:p>
    <w:p w:rsidR="00547B52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Ханты-Мансийского автономного округа-Югры!</w:t>
      </w:r>
    </w:p>
    <w:p w:rsidR="00D516CF" w:rsidRDefault="00D516CF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E10066" w:rsidRPr="007005A5" w:rsidRDefault="00E10066" w:rsidP="007005A5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262751" w:rsidRPr="007005A5" w:rsidRDefault="00262751" w:rsidP="007005A5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7005A5">
        <w:rPr>
          <w:bCs w:val="0"/>
          <w:sz w:val="28"/>
          <w:szCs w:val="28"/>
        </w:rPr>
        <w:t>Внесены изменения в порядок ведения справочника регистров для налогового мониторинга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05A5">
        <w:rPr>
          <w:sz w:val="28"/>
          <w:szCs w:val="28"/>
        </w:rPr>
        <w:t>ФНС России утвердила изменения в порядок ведения справочника регистров по налогу на прибыль организации для налогового мониторинга, который входит в состав Цифрового налогового кодекса.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05A5">
        <w:rPr>
          <w:sz w:val="28"/>
          <w:szCs w:val="28"/>
        </w:rPr>
        <w:t>На официальном сайте Службы опубликованы пять приказов, которые закрепляют порядок ведения справочника регистров в части:</w:t>
      </w:r>
    </w:p>
    <w:p w:rsidR="00262751" w:rsidRPr="007005A5" w:rsidRDefault="00262751" w:rsidP="007005A5">
      <w:pPr>
        <w:numPr>
          <w:ilvl w:val="0"/>
          <w:numId w:val="42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005A5">
        <w:rPr>
          <w:rFonts w:ascii="Times New Roman" w:hAnsi="Times New Roman" w:cs="Times New Roman"/>
          <w:sz w:val="28"/>
          <w:szCs w:val="28"/>
        </w:rPr>
        <w:t>внереализационных доходов и расходов в виде процентов по </w:t>
      </w:r>
      <w:hyperlink r:id="rId8" w:tgtFrame="_blank" w:history="1">
        <w:r w:rsidRPr="007005A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долговым обязательствам</w:t>
        </w:r>
      </w:hyperlink>
      <w:r w:rsidRPr="007005A5">
        <w:rPr>
          <w:rFonts w:ascii="Times New Roman" w:hAnsi="Times New Roman" w:cs="Times New Roman"/>
          <w:sz w:val="28"/>
          <w:szCs w:val="28"/>
        </w:rPr>
        <w:t>;</w:t>
      </w:r>
    </w:p>
    <w:p w:rsidR="00262751" w:rsidRPr="007005A5" w:rsidRDefault="00262751" w:rsidP="007005A5">
      <w:pPr>
        <w:numPr>
          <w:ilvl w:val="0"/>
          <w:numId w:val="42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005A5">
        <w:rPr>
          <w:rFonts w:ascii="Times New Roman" w:hAnsi="Times New Roman" w:cs="Times New Roman"/>
          <w:sz w:val="28"/>
          <w:szCs w:val="28"/>
        </w:rPr>
        <w:t>внереализационных доходов от долевого участия в </w:t>
      </w:r>
      <w:hyperlink r:id="rId9" w:tgtFrame="_blank" w:history="1">
        <w:r w:rsidRPr="007005A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виде дивидендов</w:t>
        </w:r>
      </w:hyperlink>
      <w:r w:rsidRPr="007005A5">
        <w:rPr>
          <w:rFonts w:ascii="Times New Roman" w:hAnsi="Times New Roman" w:cs="Times New Roman"/>
          <w:sz w:val="28"/>
          <w:szCs w:val="28"/>
        </w:rPr>
        <w:t>;</w:t>
      </w:r>
    </w:p>
    <w:p w:rsidR="00262751" w:rsidRPr="007005A5" w:rsidRDefault="00262751" w:rsidP="007005A5">
      <w:pPr>
        <w:numPr>
          <w:ilvl w:val="0"/>
          <w:numId w:val="42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005A5">
        <w:rPr>
          <w:rFonts w:ascii="Times New Roman" w:hAnsi="Times New Roman" w:cs="Times New Roman"/>
          <w:sz w:val="28"/>
          <w:szCs w:val="28"/>
        </w:rPr>
        <w:t>налоговой базы по операциям с </w:t>
      </w:r>
      <w:hyperlink r:id="rId10" w:tgtFrame="_blank" w:history="1">
        <w:r w:rsidRPr="007005A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ценными бумагами</w:t>
        </w:r>
      </w:hyperlink>
      <w:r w:rsidRPr="007005A5">
        <w:rPr>
          <w:rFonts w:ascii="Times New Roman" w:hAnsi="Times New Roman" w:cs="Times New Roman"/>
          <w:sz w:val="28"/>
          <w:szCs w:val="28"/>
        </w:rPr>
        <w:t>;</w:t>
      </w:r>
    </w:p>
    <w:p w:rsidR="00262751" w:rsidRPr="007005A5" w:rsidRDefault="00262751" w:rsidP="007005A5">
      <w:pPr>
        <w:numPr>
          <w:ilvl w:val="0"/>
          <w:numId w:val="42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005A5">
        <w:rPr>
          <w:rFonts w:ascii="Times New Roman" w:hAnsi="Times New Roman" w:cs="Times New Roman"/>
          <w:sz w:val="28"/>
          <w:szCs w:val="28"/>
        </w:rPr>
        <w:t>расходов на научные исследования и (или) опытно-конструкторские </w:t>
      </w:r>
      <w:hyperlink r:id="rId11" w:tgtFrame="_blank" w:history="1">
        <w:r w:rsidRPr="007005A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разработки</w:t>
        </w:r>
      </w:hyperlink>
      <w:r w:rsidRPr="007005A5">
        <w:rPr>
          <w:rFonts w:ascii="Times New Roman" w:hAnsi="Times New Roman" w:cs="Times New Roman"/>
          <w:sz w:val="28"/>
          <w:szCs w:val="28"/>
        </w:rPr>
        <w:t>;</w:t>
      </w:r>
    </w:p>
    <w:p w:rsidR="00262751" w:rsidRPr="007005A5" w:rsidRDefault="00262751" w:rsidP="007005A5">
      <w:pPr>
        <w:numPr>
          <w:ilvl w:val="0"/>
          <w:numId w:val="42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005A5">
        <w:rPr>
          <w:rFonts w:ascii="Times New Roman" w:hAnsi="Times New Roman" w:cs="Times New Roman"/>
          <w:sz w:val="28"/>
          <w:szCs w:val="28"/>
        </w:rPr>
        <w:t>расходов на формирование резервов по сомнительным долгам и признание </w:t>
      </w:r>
      <w:hyperlink r:id="rId12" w:tgtFrame="_blank" w:history="1">
        <w:r w:rsidRPr="007005A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безнадежных долгов</w:t>
        </w:r>
      </w:hyperlink>
      <w:r w:rsidRPr="007005A5">
        <w:rPr>
          <w:rFonts w:ascii="Times New Roman" w:hAnsi="Times New Roman" w:cs="Times New Roman"/>
          <w:sz w:val="28"/>
          <w:szCs w:val="28"/>
        </w:rPr>
        <w:t>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05A5">
        <w:rPr>
          <w:sz w:val="28"/>
          <w:szCs w:val="28"/>
        </w:rPr>
        <w:t>Изменения внесены для методологического и технического совершенствования модели взаимодействия. Они позволят автоматически проверять правильность данных и согласовывать базу по налогу на прибыль. В связи со спецификой отдельных контролей для каждого нового блока будет утверждаться новый порядок ведения.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05A5">
        <w:rPr>
          <w:sz w:val="28"/>
          <w:szCs w:val="28"/>
        </w:rPr>
        <w:t xml:space="preserve">Цифровой Налоговый кодекс разработан для внедрения единого инструмента контроля автоматической проверки полноты и корректности данных налоговой отчетности. Он направлен на развитие и повышение эффективности информационного взаимодействия между налоговым органом и налогоплательщиками при проведении налогового мониторинга, </w:t>
      </w:r>
      <w:r w:rsidRPr="007005A5">
        <w:rPr>
          <w:sz w:val="28"/>
          <w:szCs w:val="28"/>
        </w:rPr>
        <w:lastRenderedPageBreak/>
        <w:t>снижение уровня неопределенности и рисков при начислении налогов на стороне налогоплательщика.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05A5">
        <w:rPr>
          <w:sz w:val="28"/>
          <w:szCs w:val="28"/>
        </w:rPr>
        <w:t>Цифровой налоговый кодекс состоит из справочников рисков, контролей, регистров и статей Налогового кодекса РФ, касающихся налогового мониторинга. Справочники предназначены для использования в АИС «Налог-3» и информационных системах налогоплательщиков, к которым предоставлен доступ налоговому органу. Ознакомиться с текстами порядка ведения справочников можно на официальном </w:t>
      </w:r>
      <w:hyperlink r:id="rId13" w:tgtFrame="_blank" w:history="1">
        <w:r w:rsidRPr="007005A5">
          <w:rPr>
            <w:rStyle w:val="a4"/>
            <w:color w:val="auto"/>
            <w:sz w:val="28"/>
            <w:szCs w:val="28"/>
            <w:u w:val="none"/>
          </w:rPr>
          <w:t>сайте ФНС России</w:t>
        </w:r>
      </w:hyperlink>
      <w:r w:rsidRPr="007005A5">
        <w:rPr>
          <w:sz w:val="28"/>
          <w:szCs w:val="28"/>
        </w:rPr>
        <w:t>.</w:t>
      </w:r>
    </w:p>
    <w:p w:rsidR="00262751" w:rsidRPr="007005A5" w:rsidRDefault="00262751" w:rsidP="007005A5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262751" w:rsidRPr="007005A5" w:rsidRDefault="00262751" w:rsidP="007005A5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262751" w:rsidRPr="007005A5" w:rsidRDefault="00262751" w:rsidP="007005A5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7005A5">
        <w:rPr>
          <w:bCs w:val="0"/>
          <w:sz w:val="28"/>
          <w:szCs w:val="28"/>
        </w:rPr>
        <w:t>До 20 октября 61,6 млн налоговых уведомлений будет отправлено для оплаты налогов на имущество физических лиц за 2023 год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05A5">
        <w:rPr>
          <w:sz w:val="28"/>
          <w:szCs w:val="28"/>
        </w:rPr>
        <w:t>Во всех регионах страны (кроме Донецкой и Луганской народных республик, Запорожской и Херсонской областей, где на 2023 год не были введены налоги на имущество физических лиц) началась массовая рассылка налоговых уведомлений для уплаты гражданами транспортного и земельного налогов, а также налога на недвижимое имущество за 2023 год.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05A5">
        <w:rPr>
          <w:sz w:val="28"/>
          <w:szCs w:val="28"/>
        </w:rPr>
        <w:t>Всего </w:t>
      </w:r>
      <w:hyperlink r:id="rId14" w:tgtFrame="_blank" w:history="1">
        <w:r w:rsidRPr="007005A5">
          <w:rPr>
            <w:rStyle w:val="a4"/>
            <w:color w:val="auto"/>
            <w:sz w:val="28"/>
            <w:szCs w:val="28"/>
            <w:u w:val="none"/>
          </w:rPr>
          <w:t>до 20 октября</w:t>
        </w:r>
      </w:hyperlink>
      <w:r w:rsidRPr="007005A5">
        <w:rPr>
          <w:sz w:val="28"/>
          <w:szCs w:val="28"/>
        </w:rPr>
        <w:t> планируется направить 61,6 млн таких уведомлений. Из них около 40 млн (+17% к 2023 году) – в электронном виде через </w:t>
      </w:r>
      <w:hyperlink r:id="rId15" w:tgtFrame="_blank" w:history="1">
        <w:r w:rsidRPr="007005A5">
          <w:rPr>
            <w:rStyle w:val="a4"/>
            <w:color w:val="auto"/>
            <w:sz w:val="28"/>
            <w:szCs w:val="28"/>
            <w:u w:val="none"/>
          </w:rPr>
          <w:t>личный кабинет налогоплательщика</w:t>
        </w:r>
      </w:hyperlink>
      <w:r w:rsidRPr="007005A5">
        <w:rPr>
          <w:sz w:val="28"/>
          <w:szCs w:val="28"/>
        </w:rPr>
        <w:t> и личный кабинет на едином портале государственных и муниципальных услуг тем, кто подключен к указанным сервисам. Остальным налогоплательщикам – по почте заказными письмами.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05A5">
        <w:rPr>
          <w:sz w:val="28"/>
          <w:szCs w:val="28"/>
        </w:rPr>
        <w:t>Налоговые уведомления адресованы владельцам налогооблагаемого имущества: транспортных средств, земельных участков, объектов недвижимости за период владения в течение 2023 года. Исключение - уведомления, не превышающие 300 руб., направляемые раз в три года. Также налоговые уведомления не направляются лицам, полностью освобожденным от уплаты налогов при наличии соответствующих льгот. Общий объем начислений налогов на имущество во всех уведомлениях составил 368,2 млрд руб. (+4,7% к 2023 году).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05A5">
        <w:rPr>
          <w:sz w:val="28"/>
          <w:szCs w:val="28"/>
        </w:rPr>
        <w:t>На сайте ФНС России размещена </w:t>
      </w:r>
      <w:hyperlink r:id="rId16" w:tgtFrame="_blank" w:history="1">
        <w:r w:rsidRPr="007005A5">
          <w:rPr>
            <w:rStyle w:val="a4"/>
            <w:color w:val="auto"/>
            <w:sz w:val="28"/>
            <w:szCs w:val="28"/>
            <w:u w:val="none"/>
          </w:rPr>
          <w:t>промостраница</w:t>
        </w:r>
      </w:hyperlink>
      <w:r w:rsidRPr="007005A5">
        <w:rPr>
          <w:sz w:val="28"/>
          <w:szCs w:val="28"/>
        </w:rPr>
        <w:t> о налоговых уведомлениях, направляемых физическим лицам в 2024 году. Она содержит разъяснения по типовым вопросам – жизненным ситуациям: что такое налоговое уведомление, как его получить и исполнить, основные изменения в налогообложении имущества физических лиц в 2024 году по сравнению с прошлым годом, как узнать о налоговых льготах, указанных в уведомлении, как ими воспользоваться, что делать, если налоговое уведомление не получено.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05A5">
        <w:rPr>
          <w:sz w:val="28"/>
          <w:szCs w:val="28"/>
        </w:rPr>
        <w:t>Налоги, указанные в направленных уведомлениях за 2023 год, необходимо оплатить не позднее 2 декабря 2024 года. Исключение – налогоплательщики на отдельных территориях Белгородской и Курской областей, а также пострадавшие от паводка в Оренбургской области, для которых указанный срок уплаты продлен на 12 месяцев постановлениями Правительства РФ от </w:t>
      </w:r>
      <w:hyperlink r:id="rId17" w:tgtFrame="_blank" w:history="1">
        <w:r w:rsidRPr="007005A5">
          <w:rPr>
            <w:rStyle w:val="a4"/>
            <w:color w:val="auto"/>
            <w:sz w:val="28"/>
            <w:szCs w:val="28"/>
            <w:u w:val="none"/>
          </w:rPr>
          <w:t>30.05.2024 № 722</w:t>
        </w:r>
      </w:hyperlink>
      <w:r w:rsidRPr="007005A5">
        <w:rPr>
          <w:sz w:val="28"/>
          <w:szCs w:val="28"/>
        </w:rPr>
        <w:t>, от </w:t>
      </w:r>
      <w:hyperlink r:id="rId18" w:tgtFrame="_blank" w:history="1">
        <w:r w:rsidRPr="007005A5">
          <w:rPr>
            <w:rStyle w:val="a4"/>
            <w:color w:val="auto"/>
            <w:sz w:val="28"/>
            <w:szCs w:val="28"/>
            <w:u w:val="none"/>
          </w:rPr>
          <w:t>11.07.2024 № 939</w:t>
        </w:r>
      </w:hyperlink>
      <w:r w:rsidRPr="007005A5">
        <w:rPr>
          <w:sz w:val="28"/>
          <w:szCs w:val="28"/>
        </w:rPr>
        <w:t>, от </w:t>
      </w:r>
      <w:hyperlink r:id="rId19" w:tgtFrame="_blank" w:history="1">
        <w:r w:rsidRPr="007005A5">
          <w:rPr>
            <w:rStyle w:val="a4"/>
            <w:color w:val="auto"/>
            <w:sz w:val="28"/>
            <w:szCs w:val="28"/>
            <w:u w:val="none"/>
          </w:rPr>
          <w:t>04.09.2024 № 1222</w:t>
        </w:r>
      </w:hyperlink>
      <w:r w:rsidRPr="007005A5">
        <w:rPr>
          <w:sz w:val="28"/>
          <w:szCs w:val="28"/>
        </w:rPr>
        <w:t>.</w:t>
      </w:r>
    </w:p>
    <w:p w:rsidR="00262751" w:rsidRPr="007005A5" w:rsidRDefault="00262751" w:rsidP="007005A5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262751" w:rsidRPr="007005A5" w:rsidRDefault="00262751" w:rsidP="007005A5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7005A5">
        <w:rPr>
          <w:bCs w:val="0"/>
          <w:sz w:val="28"/>
          <w:szCs w:val="28"/>
        </w:rPr>
        <w:lastRenderedPageBreak/>
        <w:t>ФНС России разъяснила, как управляющие рынком компании будут контролировать применение онлайн-касс с 2025 года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05A5">
        <w:rPr>
          <w:sz w:val="28"/>
          <w:szCs w:val="28"/>
        </w:rPr>
        <w:t>С 1 марта 2025 года вступают в силу новые правила взаимодействия арендаторов и управляющих рынками компаний (УРК). Так, потенциальные арендаторы при заключении договора об аренде торгового места будут обязаны представить документальное подтверждение наличия ККТ, а УРК будут ежемесячно проверять наличие зарегистрированных кассовых аппаратов у всех торговых точек.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05A5">
        <w:rPr>
          <w:sz w:val="28"/>
          <w:szCs w:val="28"/>
        </w:rPr>
        <w:t>В случае выявления у арендатора нарушения порядка применения ККТ УРК будет направлять арендатору уведомление о необходимости устранения таких нарушений. Если в течение 15 рабочих дней арендатор не устранит их, то УРК разрывает договор аренды.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05A5">
        <w:rPr>
          <w:sz w:val="28"/>
          <w:szCs w:val="28"/>
        </w:rPr>
        <w:t>Для удобства мониторинга и контроля применения ККТ арендаторами УРК могут воспользоваться сервисом ФНС России «Сведения о рынках и арендаторах», размещенным в их личных кабинетах. Руководство пользователя размещено по </w:t>
      </w:r>
      <w:hyperlink r:id="rId20" w:tgtFrame="_blank" w:history="1">
        <w:r w:rsidRPr="007005A5">
          <w:rPr>
            <w:rStyle w:val="a4"/>
            <w:color w:val="auto"/>
            <w:sz w:val="28"/>
            <w:szCs w:val="28"/>
            <w:u w:val="none"/>
          </w:rPr>
          <w:t>ссылке</w:t>
        </w:r>
      </w:hyperlink>
      <w:r w:rsidRPr="007005A5">
        <w:rPr>
          <w:sz w:val="28"/>
          <w:szCs w:val="28"/>
        </w:rPr>
        <w:t>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05A5">
        <w:rPr>
          <w:sz w:val="28"/>
          <w:szCs w:val="28"/>
        </w:rPr>
        <w:t>Несоблюдение управляющими рынками компаниями условий по контролю и применению их арендаторами ККТ влечет предупреждение или наложение административного штрафа:</w:t>
      </w:r>
    </w:p>
    <w:p w:rsidR="00262751" w:rsidRPr="007005A5" w:rsidRDefault="00262751" w:rsidP="007005A5">
      <w:pPr>
        <w:numPr>
          <w:ilvl w:val="0"/>
          <w:numId w:val="4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005A5">
        <w:rPr>
          <w:rFonts w:ascii="Times New Roman" w:hAnsi="Times New Roman" w:cs="Times New Roman"/>
          <w:sz w:val="28"/>
          <w:szCs w:val="28"/>
        </w:rPr>
        <w:t>на должностных лиц - от 40 тыс. до 50 тыс. рублей;</w:t>
      </w:r>
    </w:p>
    <w:p w:rsidR="00262751" w:rsidRPr="007005A5" w:rsidRDefault="00262751" w:rsidP="007005A5">
      <w:pPr>
        <w:numPr>
          <w:ilvl w:val="0"/>
          <w:numId w:val="4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005A5">
        <w:rPr>
          <w:rFonts w:ascii="Times New Roman" w:hAnsi="Times New Roman" w:cs="Times New Roman"/>
          <w:sz w:val="28"/>
          <w:szCs w:val="28"/>
        </w:rPr>
        <w:t>на юридических лиц - предупреждение или штраф от 100 тыс. до 300 тыс. рублей;</w:t>
      </w:r>
    </w:p>
    <w:p w:rsidR="00262751" w:rsidRPr="007005A5" w:rsidRDefault="00262751" w:rsidP="007005A5">
      <w:pPr>
        <w:numPr>
          <w:ilvl w:val="0"/>
          <w:numId w:val="4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005A5">
        <w:rPr>
          <w:rFonts w:ascii="Times New Roman" w:hAnsi="Times New Roman" w:cs="Times New Roman"/>
          <w:sz w:val="28"/>
          <w:szCs w:val="28"/>
        </w:rPr>
        <w:t>при повторном совершении правонарушения для должностных лиц эта сумма составит от 50 тыс. до 80 тыс. рублей, а для компаний - от 300 тыс. до 1 млн рублей (</w:t>
      </w:r>
      <w:hyperlink r:id="rId21" w:tgtFrame="_blank" w:history="1">
        <w:r w:rsidRPr="007005A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ч. 16 и 17 ст. 14.5 КоАП РФ</w:t>
        </w:r>
      </w:hyperlink>
      <w:r w:rsidRPr="007005A5">
        <w:rPr>
          <w:rFonts w:ascii="Times New Roman" w:hAnsi="Times New Roman" w:cs="Times New Roman"/>
          <w:sz w:val="28"/>
          <w:szCs w:val="28"/>
        </w:rPr>
        <w:t>).</w:t>
      </w:r>
    </w:p>
    <w:p w:rsidR="00262751" w:rsidRPr="007005A5" w:rsidRDefault="00262751" w:rsidP="007005A5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262751" w:rsidRPr="007005A5" w:rsidRDefault="00262751" w:rsidP="007005A5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262751" w:rsidRPr="007005A5" w:rsidRDefault="00262751" w:rsidP="007005A5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7005A5">
        <w:rPr>
          <w:bCs w:val="0"/>
          <w:spacing w:val="-15"/>
          <w:sz w:val="28"/>
          <w:szCs w:val="28"/>
        </w:rPr>
        <w:t>Как в кассовом чеке указывать цену товара с учетом бонусов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005A5">
        <w:rPr>
          <w:sz w:val="28"/>
          <w:szCs w:val="28"/>
        </w:rPr>
        <w:t>По </w:t>
      </w:r>
      <w:r w:rsidRPr="007005A5">
        <w:rPr>
          <w:sz w:val="28"/>
          <w:szCs w:val="28"/>
          <w:bdr w:val="none" w:sz="0" w:space="0" w:color="auto" w:frame="1"/>
        </w:rPr>
        <w:t>общему правилу</w:t>
      </w:r>
      <w:r w:rsidRPr="007005A5">
        <w:rPr>
          <w:sz w:val="28"/>
          <w:szCs w:val="28"/>
        </w:rPr>
        <w:t> при расчетах за товары, работы или услуги продавец должен применять кассу за исключением некоторых случаев, например, торговля в отдаленных и труднодоступных местностях, продажа газет и журналов и др.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005A5">
        <w:rPr>
          <w:sz w:val="28"/>
          <w:szCs w:val="28"/>
        </w:rPr>
        <w:t>Цена товара отражается в чеке с учетом всех предоставленных скидок, в том числе бонусов.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005A5">
        <w:rPr>
          <w:sz w:val="28"/>
          <w:szCs w:val="28"/>
        </w:rPr>
        <w:t>Так как </w:t>
      </w:r>
      <w:r w:rsidRPr="007005A5">
        <w:rPr>
          <w:sz w:val="28"/>
          <w:szCs w:val="28"/>
          <w:bdr w:val="none" w:sz="0" w:space="0" w:color="auto" w:frame="1"/>
        </w:rPr>
        <w:t>оплата бонусами</w:t>
      </w:r>
      <w:r w:rsidRPr="007005A5">
        <w:rPr>
          <w:sz w:val="28"/>
          <w:szCs w:val="28"/>
        </w:rPr>
        <w:t> – это индивидуальная скидка для конкретного покупателя, такую информацию можно указывать в чеке отдельно: сначала показать полную цену, затем сумму используемых бонусов и окончательную стоимость.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005A5">
        <w:rPr>
          <w:sz w:val="28"/>
          <w:szCs w:val="28"/>
        </w:rPr>
        <w:t xml:space="preserve">Однако оплату товара бонусами также можно рассматривать как расчет иным встречным предоставлением. Условием получения бонусов является совершение покупателем определенных действий, например, ранее купить товары на определенную сумму. Так у продавца появляется встречное обязательство перед покупателем. Поэтому получение покупателем товаров (работ, услуг) за бонусы расценивается как заключение договора купли-продажи. В этом случае бонус – это не скидка, а иное встречное </w:t>
      </w:r>
      <w:r w:rsidRPr="007005A5">
        <w:rPr>
          <w:sz w:val="28"/>
          <w:szCs w:val="28"/>
        </w:rPr>
        <w:lastRenderedPageBreak/>
        <w:t>предоставление. Если физлицо оплачивает товар бонусами, цена товара не меняется. Сумма, уплаченная бонусами, отражается в кассовом чеке как «сумма по чеку встречным предоставлением» (тег 1217).</w:t>
      </w:r>
    </w:p>
    <w:p w:rsidR="00262751" w:rsidRPr="007005A5" w:rsidRDefault="00262751" w:rsidP="007005A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005A5">
        <w:rPr>
          <w:sz w:val="28"/>
          <w:szCs w:val="28"/>
        </w:rPr>
        <w:t>Таким образом, продавец имеет два способа правильного отражения продаж с оплатой бонусами. Подробности вебинара с участием заместителя начальника Управления оперативного контроля </w:t>
      </w:r>
      <w:r w:rsidRPr="007005A5">
        <w:rPr>
          <w:rStyle w:val="a5"/>
          <w:sz w:val="28"/>
          <w:szCs w:val="28"/>
          <w:bdr w:val="none" w:sz="0" w:space="0" w:color="auto" w:frame="1"/>
        </w:rPr>
        <w:t>Александра Сорокина</w:t>
      </w:r>
      <w:r w:rsidRPr="007005A5">
        <w:rPr>
          <w:sz w:val="28"/>
          <w:szCs w:val="28"/>
        </w:rPr>
        <w:t> читайте в журнале «</w:t>
      </w:r>
      <w:r w:rsidRPr="007005A5">
        <w:rPr>
          <w:sz w:val="28"/>
          <w:szCs w:val="28"/>
          <w:bdr w:val="none" w:sz="0" w:space="0" w:color="auto" w:frame="1"/>
        </w:rPr>
        <w:t>Налоговая политика и практика</w:t>
      </w:r>
      <w:r w:rsidRPr="007005A5">
        <w:rPr>
          <w:sz w:val="28"/>
          <w:szCs w:val="28"/>
        </w:rPr>
        <w:t>» за август 2024 года.</w:t>
      </w:r>
    </w:p>
    <w:p w:rsidR="00D33B47" w:rsidRPr="00905883" w:rsidRDefault="00D33B47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bookmarkStart w:id="0" w:name="_GoBack"/>
      <w:bookmarkEnd w:id="0"/>
    </w:p>
    <w:p w:rsidR="00F733B9" w:rsidRPr="00905883" w:rsidRDefault="00F733B9" w:rsidP="00212548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Пресс-служба ИФНС России по</w:t>
      </w:r>
    </w:p>
    <w:p w:rsidR="00F733B9" w:rsidRPr="00905883" w:rsidRDefault="00F733B9" w:rsidP="00212548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182897" w:rsidRPr="00905883" w:rsidRDefault="00F733B9" w:rsidP="00E10066">
      <w:pPr>
        <w:pStyle w:val="a3"/>
        <w:spacing w:before="0" w:beforeAutospacing="0" w:after="0" w:afterAutospacing="0"/>
        <w:jc w:val="right"/>
        <w:rPr>
          <w:b/>
          <w:kern w:val="36"/>
          <w:sz w:val="28"/>
          <w:szCs w:val="28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sectPr w:rsidR="00182897" w:rsidRPr="00905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313" w:rsidRDefault="00D13313" w:rsidP="00182897">
      <w:pPr>
        <w:spacing w:after="0" w:line="240" w:lineRule="auto"/>
      </w:pPr>
      <w:r>
        <w:separator/>
      </w:r>
    </w:p>
  </w:endnote>
  <w:endnote w:type="continuationSeparator" w:id="0">
    <w:p w:rsidR="00D13313" w:rsidRDefault="00D13313" w:rsidP="00182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313" w:rsidRDefault="00D13313" w:rsidP="00182897">
      <w:pPr>
        <w:spacing w:after="0" w:line="240" w:lineRule="auto"/>
      </w:pPr>
      <w:r>
        <w:separator/>
      </w:r>
    </w:p>
  </w:footnote>
  <w:footnote w:type="continuationSeparator" w:id="0">
    <w:p w:rsidR="00D13313" w:rsidRDefault="00D13313" w:rsidP="00182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06D2"/>
    <w:multiLevelType w:val="multilevel"/>
    <w:tmpl w:val="A39A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C4B9A"/>
    <w:multiLevelType w:val="hybridMultilevel"/>
    <w:tmpl w:val="3970F028"/>
    <w:lvl w:ilvl="0" w:tplc="CFD48912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" w15:restartNumberingAfterBreak="0">
    <w:nsid w:val="00E7519A"/>
    <w:multiLevelType w:val="hybridMultilevel"/>
    <w:tmpl w:val="CD141BB8"/>
    <w:lvl w:ilvl="0" w:tplc="CDA4C122">
      <w:start w:val="1"/>
      <w:numFmt w:val="bullet"/>
      <w:lvlText w:val=""/>
      <w:lvlJc w:val="left"/>
      <w:pPr>
        <w:ind w:left="1259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05117A9B"/>
    <w:multiLevelType w:val="hybridMultilevel"/>
    <w:tmpl w:val="C05E5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6774D"/>
    <w:multiLevelType w:val="hybridMultilevel"/>
    <w:tmpl w:val="A97C9FAA"/>
    <w:lvl w:ilvl="0" w:tplc="1848D5E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9234611"/>
    <w:multiLevelType w:val="hybridMultilevel"/>
    <w:tmpl w:val="2FC0219C"/>
    <w:lvl w:ilvl="0" w:tplc="FD763F78">
      <w:start w:val="1"/>
      <w:numFmt w:val="decimal"/>
      <w:lvlText w:val="%1."/>
      <w:lvlJc w:val="left"/>
      <w:pPr>
        <w:ind w:left="1885" w:hanging="11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FC65A4A"/>
    <w:multiLevelType w:val="multilevel"/>
    <w:tmpl w:val="2812B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DE62F5"/>
    <w:multiLevelType w:val="multilevel"/>
    <w:tmpl w:val="27D44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51260E"/>
    <w:multiLevelType w:val="multilevel"/>
    <w:tmpl w:val="5716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A65F6C"/>
    <w:multiLevelType w:val="multilevel"/>
    <w:tmpl w:val="1800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2F43C9"/>
    <w:multiLevelType w:val="multilevel"/>
    <w:tmpl w:val="74985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BD0433"/>
    <w:multiLevelType w:val="multilevel"/>
    <w:tmpl w:val="8E04C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485515"/>
    <w:multiLevelType w:val="multilevel"/>
    <w:tmpl w:val="94DAE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025623"/>
    <w:multiLevelType w:val="hybridMultilevel"/>
    <w:tmpl w:val="6382E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D8203B"/>
    <w:multiLevelType w:val="hybridMultilevel"/>
    <w:tmpl w:val="61545C3C"/>
    <w:lvl w:ilvl="0" w:tplc="06A8C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4647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B6E3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A8B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3E4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6E2D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8B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821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4247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F111FF"/>
    <w:multiLevelType w:val="hybridMultilevel"/>
    <w:tmpl w:val="457E5C7E"/>
    <w:lvl w:ilvl="0" w:tplc="138063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6C2990"/>
    <w:multiLevelType w:val="multilevel"/>
    <w:tmpl w:val="6AF48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F1372C"/>
    <w:multiLevelType w:val="hybridMultilevel"/>
    <w:tmpl w:val="EFDEDA84"/>
    <w:lvl w:ilvl="0" w:tplc="8B3E5CE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323D02"/>
    <w:multiLevelType w:val="multilevel"/>
    <w:tmpl w:val="8E14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494A23"/>
    <w:multiLevelType w:val="hybridMultilevel"/>
    <w:tmpl w:val="6F98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C437C2"/>
    <w:multiLevelType w:val="hybridMultilevel"/>
    <w:tmpl w:val="FF60A746"/>
    <w:lvl w:ilvl="0" w:tplc="8DEAB40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C23AB3"/>
    <w:multiLevelType w:val="hybridMultilevel"/>
    <w:tmpl w:val="C1AEA212"/>
    <w:lvl w:ilvl="0" w:tplc="105AB3FE">
      <w:start w:val="1"/>
      <w:numFmt w:val="decimal"/>
      <w:lvlText w:val="%1."/>
      <w:lvlJc w:val="left"/>
      <w:pPr>
        <w:ind w:left="7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2" w15:restartNumberingAfterBreak="0">
    <w:nsid w:val="320F2D0A"/>
    <w:multiLevelType w:val="hybridMultilevel"/>
    <w:tmpl w:val="CAA24F6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3" w15:restartNumberingAfterBreak="0">
    <w:nsid w:val="3DD84FA9"/>
    <w:multiLevelType w:val="hybridMultilevel"/>
    <w:tmpl w:val="DA28BB90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417C7B6F"/>
    <w:multiLevelType w:val="hybridMultilevel"/>
    <w:tmpl w:val="A3D46BB6"/>
    <w:lvl w:ilvl="0" w:tplc="90129968">
      <w:start w:val="1"/>
      <w:numFmt w:val="upperRoman"/>
      <w:lvlText w:val="%1."/>
      <w:lvlJc w:val="left"/>
      <w:pPr>
        <w:ind w:left="1038" w:hanging="720"/>
      </w:pPr>
      <w:rPr>
        <w:rFonts w:ascii="Arial Narrow" w:hAnsi="Arial Narrow" w:cs="Times New Roman" w:hint="default"/>
        <w:b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5" w15:restartNumberingAfterBreak="0">
    <w:nsid w:val="46C52EDE"/>
    <w:multiLevelType w:val="hybridMultilevel"/>
    <w:tmpl w:val="42D676EC"/>
    <w:lvl w:ilvl="0" w:tplc="B01462C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C01ED7"/>
    <w:multiLevelType w:val="hybridMultilevel"/>
    <w:tmpl w:val="8DF45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41741"/>
    <w:multiLevelType w:val="hybridMultilevel"/>
    <w:tmpl w:val="BE044D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DAB5664"/>
    <w:multiLevelType w:val="hybridMultilevel"/>
    <w:tmpl w:val="775678EA"/>
    <w:lvl w:ilvl="0" w:tplc="0B5620B2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4E8B647B"/>
    <w:multiLevelType w:val="multilevel"/>
    <w:tmpl w:val="0CB4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A541E4"/>
    <w:multiLevelType w:val="multilevel"/>
    <w:tmpl w:val="F522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B81FF1"/>
    <w:multiLevelType w:val="hybridMultilevel"/>
    <w:tmpl w:val="29A2A13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40F1BB5"/>
    <w:multiLevelType w:val="multilevel"/>
    <w:tmpl w:val="30A82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816A4D"/>
    <w:multiLevelType w:val="multilevel"/>
    <w:tmpl w:val="A4946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B0B04B4"/>
    <w:multiLevelType w:val="multilevel"/>
    <w:tmpl w:val="3634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80017D"/>
    <w:multiLevelType w:val="multilevel"/>
    <w:tmpl w:val="A008E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38819F8"/>
    <w:multiLevelType w:val="hybridMultilevel"/>
    <w:tmpl w:val="DA127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8B5C7A"/>
    <w:multiLevelType w:val="multilevel"/>
    <w:tmpl w:val="FE50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9D4DDA"/>
    <w:multiLevelType w:val="multilevel"/>
    <w:tmpl w:val="E56C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AA62502"/>
    <w:multiLevelType w:val="multilevel"/>
    <w:tmpl w:val="EFB8F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6F773C"/>
    <w:multiLevelType w:val="multilevel"/>
    <w:tmpl w:val="1A20A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D322BCB"/>
    <w:multiLevelType w:val="multilevel"/>
    <w:tmpl w:val="93268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"/>
  </w:num>
  <w:num w:numId="3">
    <w:abstractNumId w:val="2"/>
  </w:num>
  <w:num w:numId="4">
    <w:abstractNumId w:val="28"/>
  </w:num>
  <w:num w:numId="5">
    <w:abstractNumId w:val="3"/>
  </w:num>
  <w:num w:numId="6">
    <w:abstractNumId w:val="13"/>
  </w:num>
  <w:num w:numId="7">
    <w:abstractNumId w:val="36"/>
  </w:num>
  <w:num w:numId="8">
    <w:abstractNumId w:val="24"/>
  </w:num>
  <w:num w:numId="9">
    <w:abstractNumId w:val="26"/>
  </w:num>
  <w:num w:numId="10">
    <w:abstractNumId w:val="22"/>
  </w:num>
  <w:num w:numId="11">
    <w:abstractNumId w:val="19"/>
  </w:num>
  <w:num w:numId="12">
    <w:abstractNumId w:val="31"/>
  </w:num>
  <w:num w:numId="13">
    <w:abstractNumId w:val="23"/>
  </w:num>
  <w:num w:numId="14">
    <w:abstractNumId w:val="21"/>
  </w:num>
  <w:num w:numId="15">
    <w:abstractNumId w:val="16"/>
  </w:num>
  <w:num w:numId="16">
    <w:abstractNumId w:val="4"/>
  </w:num>
  <w:num w:numId="17">
    <w:abstractNumId w:val="5"/>
  </w:num>
  <w:num w:numId="18">
    <w:abstractNumId w:val="17"/>
  </w:num>
  <w:num w:numId="19">
    <w:abstractNumId w:val="15"/>
  </w:num>
  <w:num w:numId="20">
    <w:abstractNumId w:val="20"/>
  </w:num>
  <w:num w:numId="21">
    <w:abstractNumId w:val="27"/>
  </w:num>
  <w:num w:numId="22">
    <w:abstractNumId w:val="25"/>
  </w:num>
  <w:num w:numId="23">
    <w:abstractNumId w:val="32"/>
  </w:num>
  <w:num w:numId="24">
    <w:abstractNumId w:val="0"/>
  </w:num>
  <w:num w:numId="25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6">
    <w:abstractNumId w:val="12"/>
  </w:num>
  <w:num w:numId="27">
    <w:abstractNumId w:val="40"/>
  </w:num>
  <w:num w:numId="28">
    <w:abstractNumId w:val="3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9">
    <w:abstractNumId w:val="11"/>
  </w:num>
  <w:num w:numId="30">
    <w:abstractNumId w:val="41"/>
  </w:num>
  <w:num w:numId="31">
    <w:abstractNumId w:val="41"/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32">
    <w:abstractNumId w:val="10"/>
  </w:num>
  <w:num w:numId="33">
    <w:abstractNumId w:val="39"/>
  </w:num>
  <w:num w:numId="34">
    <w:abstractNumId w:val="9"/>
  </w:num>
  <w:num w:numId="35">
    <w:abstractNumId w:val="7"/>
  </w:num>
  <w:num w:numId="36">
    <w:abstractNumId w:val="38"/>
  </w:num>
  <w:num w:numId="37">
    <w:abstractNumId w:val="29"/>
  </w:num>
  <w:num w:numId="38">
    <w:abstractNumId w:val="35"/>
  </w:num>
  <w:num w:numId="39">
    <w:abstractNumId w:val="3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0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1">
    <w:abstractNumId w:val="34"/>
  </w:num>
  <w:num w:numId="42">
    <w:abstractNumId w:val="33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DF8"/>
    <w:rsid w:val="000728D3"/>
    <w:rsid w:val="001003AC"/>
    <w:rsid w:val="00182897"/>
    <w:rsid w:val="001B57EB"/>
    <w:rsid w:val="00212548"/>
    <w:rsid w:val="00262751"/>
    <w:rsid w:val="002A77A0"/>
    <w:rsid w:val="00307506"/>
    <w:rsid w:val="00336B40"/>
    <w:rsid w:val="00387EBF"/>
    <w:rsid w:val="003A2971"/>
    <w:rsid w:val="0041637C"/>
    <w:rsid w:val="00547B52"/>
    <w:rsid w:val="005B70AD"/>
    <w:rsid w:val="005F7DF8"/>
    <w:rsid w:val="007005A5"/>
    <w:rsid w:val="0073182F"/>
    <w:rsid w:val="0079073E"/>
    <w:rsid w:val="007D2EB9"/>
    <w:rsid w:val="008A14BC"/>
    <w:rsid w:val="008F0C31"/>
    <w:rsid w:val="00905883"/>
    <w:rsid w:val="00972264"/>
    <w:rsid w:val="00AC6CCC"/>
    <w:rsid w:val="00D13313"/>
    <w:rsid w:val="00D33B47"/>
    <w:rsid w:val="00D516CF"/>
    <w:rsid w:val="00D62D4B"/>
    <w:rsid w:val="00E10066"/>
    <w:rsid w:val="00EA2F99"/>
    <w:rsid w:val="00F0575B"/>
    <w:rsid w:val="00F7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D81E03-DAE1-4B87-8691-0412F50D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2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A2971"/>
    <w:rPr>
      <w:color w:val="0000FF"/>
      <w:u w:val="single"/>
    </w:rPr>
  </w:style>
  <w:style w:type="character" w:styleId="a5">
    <w:name w:val="Strong"/>
    <w:basedOn w:val="a0"/>
    <w:uiPriority w:val="22"/>
    <w:qFormat/>
    <w:rsid w:val="003A2971"/>
    <w:rPr>
      <w:b/>
      <w:bCs/>
    </w:rPr>
  </w:style>
  <w:style w:type="paragraph" w:customStyle="1" w:styleId="post-byline">
    <w:name w:val="post-byline"/>
    <w:basedOn w:val="a"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B57EB"/>
    <w:rPr>
      <w:i/>
      <w:iCs/>
    </w:rPr>
  </w:style>
  <w:style w:type="paragraph" w:customStyle="1" w:styleId="ConsPlusNormal">
    <w:name w:val="ConsPlusNormal"/>
    <w:rsid w:val="001828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82897"/>
    <w:pPr>
      <w:spacing w:line="252" w:lineRule="auto"/>
      <w:ind w:left="720"/>
      <w:contextualSpacing/>
    </w:pPr>
    <w:rPr>
      <w:rFonts w:asciiTheme="majorHAnsi" w:eastAsiaTheme="majorEastAsia" w:hAnsiTheme="majorHAnsi" w:cstheme="majorBidi"/>
    </w:rPr>
  </w:style>
  <w:style w:type="paragraph" w:styleId="a8">
    <w:name w:val="footnote text"/>
    <w:basedOn w:val="a"/>
    <w:link w:val="a9"/>
    <w:uiPriority w:val="99"/>
    <w:semiHidden/>
    <w:unhideWhenUsed/>
    <w:rsid w:val="0018289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82897"/>
    <w:rPr>
      <w:rFonts w:asciiTheme="majorHAnsi" w:eastAsiaTheme="majorEastAsia" w:hAnsiTheme="majorHAnsi" w:cstheme="majorBidi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82897"/>
    <w:rPr>
      <w:vertAlign w:val="superscript"/>
    </w:rPr>
  </w:style>
  <w:style w:type="table" w:styleId="ab">
    <w:name w:val="Table Grid"/>
    <w:basedOn w:val="a1"/>
    <w:uiPriority w:val="59"/>
    <w:rsid w:val="00182897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289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FontStyle11">
    <w:name w:val="Font Style11"/>
    <w:uiPriority w:val="99"/>
    <w:rsid w:val="00182897"/>
    <w:rPr>
      <w:rFonts w:ascii="Arial Narrow" w:hAnsi="Arial Narrow"/>
      <w:b/>
      <w:sz w:val="30"/>
    </w:rPr>
  </w:style>
  <w:style w:type="paragraph" w:styleId="3">
    <w:name w:val="Body Text 3"/>
    <w:basedOn w:val="a"/>
    <w:link w:val="30"/>
    <w:rsid w:val="0018289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828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82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28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2736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23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54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45915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29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9610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3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474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933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4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0065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26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60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23893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1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1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2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21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1820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913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86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73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01778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705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60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11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2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84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57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37766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5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1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343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7933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7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119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59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47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0483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9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452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25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976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9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18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2483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4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126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377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56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976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32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84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89758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5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184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792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0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03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05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47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8741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2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838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098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57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9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53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0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4919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1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3299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5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45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2659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30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081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857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56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4709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70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89833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02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43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018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8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5568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19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367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88912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3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9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005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9661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8153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76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30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84869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1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73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5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8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3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5292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46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414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3176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3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7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9715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3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3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660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60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2062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9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93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46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0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4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40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09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4145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4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1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6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15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1018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6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0116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684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33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84664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7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472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91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49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38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00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7051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0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1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5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5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938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19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23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9659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76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44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44340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2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209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92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56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454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68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53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23480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1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8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6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2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3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803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3416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7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8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08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4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08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1323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4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70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41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9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695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68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50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18550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77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18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08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9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132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016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23766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6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54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01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28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5828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9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399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646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10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6096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60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264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97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240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64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22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718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5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774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5597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6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3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86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909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1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4224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99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08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13418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6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17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259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0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4598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56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725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24403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5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8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913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22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0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3722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53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30898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5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840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4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4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816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7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01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46169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5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7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3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46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3331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50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03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917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83939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4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8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8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5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6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5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3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80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133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2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56741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2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290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567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3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589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3792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02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174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148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4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1986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9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42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888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6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8735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88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46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1637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4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4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26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48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7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33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0065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1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5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8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41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0088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26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718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77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8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59694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583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873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142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49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77730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0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523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67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5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663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0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93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61587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2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9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11630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04249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9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5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8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6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138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19241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3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78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7992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8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834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32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537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642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05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561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66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8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16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3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8298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9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12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83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40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59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256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6762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5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65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6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8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839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67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2165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1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593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517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5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57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09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8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75170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7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142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1289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03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36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61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810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7777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6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0974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548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15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4109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84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77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01835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8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3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1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129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0271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82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3471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81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24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1536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8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0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09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6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5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1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9807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68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74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7987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75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1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83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49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72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21651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409539507/" TargetMode="External"/><Relationship Id="rId13" Type="http://schemas.openxmlformats.org/officeDocument/2006/relationships/hyperlink" Target="https://data.nalog.ru/html/sites/www.new.nalog.ru/files/taxation/reference_work/taxmonit/sreg.zip" TargetMode="External"/><Relationship Id="rId18" Type="http://schemas.openxmlformats.org/officeDocument/2006/relationships/hyperlink" Target="http://publication.pravo.gov.ru/document/000120240718001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onsultant.ru/document/cons_doc_LAW_34661/3824bbacc6e85f19f12895b0ee20f3bbae92f439/" TargetMode="External"/><Relationship Id="rId7" Type="http://schemas.openxmlformats.org/officeDocument/2006/relationships/hyperlink" Target="https://telemost.yandex.ru/j/94124309696572" TargetMode="External"/><Relationship Id="rId12" Type="http://schemas.openxmlformats.org/officeDocument/2006/relationships/hyperlink" Target="https://www.garant.ru/products/ipo/prime/doc/409539507/" TargetMode="External"/><Relationship Id="rId17" Type="http://schemas.openxmlformats.org/officeDocument/2006/relationships/hyperlink" Target="http://publication.pravo.gov.ru/document/0001202405310047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alog.gov.ru/nu24/" TargetMode="External"/><Relationship Id="rId20" Type="http://schemas.openxmlformats.org/officeDocument/2006/relationships/hyperlink" Target="https://kkt-online.nalog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arant.ru/products/ipo/prime/doc/409539505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kfl2.nalog.ru/lkf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arant.ru/products/ipo/prime/doc/409539501/" TargetMode="External"/><Relationship Id="rId19" Type="http://schemas.openxmlformats.org/officeDocument/2006/relationships/hyperlink" Target="http://publication.pravo.gov.ru/document/00012024090500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409639419/" TargetMode="External"/><Relationship Id="rId14" Type="http://schemas.openxmlformats.org/officeDocument/2006/relationships/hyperlink" Target="http://nalog.garant.ru/fns/nk/f533d167513979e2d229fe32a1897b73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1330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Хайруллин Салават Рустамович</cp:lastModifiedBy>
  <cp:revision>38</cp:revision>
  <dcterms:created xsi:type="dcterms:W3CDTF">2024-06-30T17:27:00Z</dcterms:created>
  <dcterms:modified xsi:type="dcterms:W3CDTF">2024-09-16T11:30:00Z</dcterms:modified>
</cp:coreProperties>
</file>