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2D18" w:rsidRDefault="00B02D18" w:rsidP="00B02D18">
      <w:pPr>
        <w:pStyle w:val="1"/>
        <w:spacing w:before="0" w:beforeAutospacing="0" w:after="0" w:afterAutospacing="0"/>
        <w:jc w:val="center"/>
        <w:rPr>
          <w:sz w:val="28"/>
          <w:szCs w:val="28"/>
        </w:rPr>
      </w:pPr>
      <w:proofErr w:type="spellStart"/>
      <w:r w:rsidRPr="00905883">
        <w:rPr>
          <w:sz w:val="28"/>
          <w:szCs w:val="28"/>
        </w:rPr>
        <w:t>Еженельный</w:t>
      </w:r>
      <w:proofErr w:type="spellEnd"/>
      <w:r w:rsidRPr="00905883">
        <w:rPr>
          <w:sz w:val="28"/>
          <w:szCs w:val="28"/>
        </w:rPr>
        <w:t xml:space="preserve"> вебинар!</w:t>
      </w:r>
    </w:p>
    <w:p w:rsidR="00B02D18" w:rsidRPr="00905883" w:rsidRDefault="00B02D18" w:rsidP="00B02D18">
      <w:pPr>
        <w:pStyle w:val="1"/>
        <w:spacing w:before="0" w:beforeAutospacing="0" w:after="0" w:afterAutospacing="0"/>
        <w:jc w:val="center"/>
        <w:rPr>
          <w:sz w:val="28"/>
          <w:szCs w:val="28"/>
        </w:rPr>
      </w:pPr>
    </w:p>
    <w:p w:rsidR="00B02D18" w:rsidRPr="008E6F77" w:rsidRDefault="00B02D18" w:rsidP="00B02D18">
      <w:pPr>
        <w:pStyle w:val="1"/>
        <w:spacing w:before="0" w:beforeAutospacing="0" w:after="0" w:afterAutospacing="0"/>
        <w:ind w:firstLine="708"/>
        <w:jc w:val="both"/>
        <w:rPr>
          <w:b w:val="0"/>
          <w:bCs w:val="0"/>
          <w:sz w:val="28"/>
          <w:szCs w:val="28"/>
        </w:rPr>
      </w:pPr>
      <w:r w:rsidRPr="008E6F77">
        <w:rPr>
          <w:b w:val="0"/>
          <w:bCs w:val="0"/>
          <w:sz w:val="28"/>
          <w:szCs w:val="28"/>
        </w:rPr>
        <w:t>Налоговая инспекция по г. Сургуту приглашает налогоплательщиков на еженедельный вебинар, который проходит каждый четверг в 12:00 на площадке «Яндекс Телемост» по теме: «Вопросы и ответы по налогообложению, в том числе ЕНС».</w:t>
      </w:r>
    </w:p>
    <w:p w:rsidR="00B02D18" w:rsidRPr="008E6F77" w:rsidRDefault="00B02D18" w:rsidP="00B02D18">
      <w:pPr>
        <w:pStyle w:val="1"/>
        <w:spacing w:before="0" w:beforeAutospacing="0" w:after="0" w:afterAutospacing="0"/>
        <w:jc w:val="both"/>
        <w:rPr>
          <w:b w:val="0"/>
          <w:bCs w:val="0"/>
          <w:sz w:val="28"/>
          <w:szCs w:val="28"/>
        </w:rPr>
      </w:pPr>
    </w:p>
    <w:p w:rsidR="00B02D18" w:rsidRPr="008E6F77" w:rsidRDefault="00197A1A" w:rsidP="00B02D18">
      <w:pPr>
        <w:pStyle w:val="1"/>
        <w:spacing w:before="0" w:beforeAutospacing="0" w:after="0" w:afterAutospacing="0"/>
        <w:jc w:val="both"/>
        <w:rPr>
          <w:b w:val="0"/>
          <w:bCs w:val="0"/>
          <w:sz w:val="28"/>
          <w:szCs w:val="28"/>
        </w:rPr>
      </w:pPr>
      <w:r w:rsidRPr="008E6F77">
        <w:rPr>
          <w:b w:val="0"/>
          <w:bCs w:val="0"/>
          <w:sz w:val="28"/>
          <w:szCs w:val="28"/>
        </w:rPr>
        <w:t>24</w:t>
      </w:r>
      <w:r w:rsidR="00B02D18" w:rsidRPr="008E6F77">
        <w:rPr>
          <w:b w:val="0"/>
          <w:bCs w:val="0"/>
          <w:sz w:val="28"/>
          <w:szCs w:val="28"/>
        </w:rPr>
        <w:t xml:space="preserve"> октября 2024 года состоится </w:t>
      </w:r>
      <w:proofErr w:type="gramStart"/>
      <w:r w:rsidR="00B02D18" w:rsidRPr="008E6F77">
        <w:rPr>
          <w:b w:val="0"/>
          <w:bCs w:val="0"/>
          <w:sz w:val="28"/>
          <w:szCs w:val="28"/>
        </w:rPr>
        <w:t>очередной</w:t>
      </w:r>
      <w:proofErr w:type="gramEnd"/>
      <w:r w:rsidR="00B02D18" w:rsidRPr="008E6F77">
        <w:rPr>
          <w:b w:val="0"/>
          <w:bCs w:val="0"/>
          <w:sz w:val="28"/>
          <w:szCs w:val="28"/>
        </w:rPr>
        <w:t xml:space="preserve"> вебинар. Для подключения к онлайн-вебинар в 12:00 (по местному времени) необходимо перейти по ссылке:</w:t>
      </w:r>
    </w:p>
    <w:p w:rsidR="00B02D18" w:rsidRPr="008E6F77" w:rsidRDefault="00B02D18" w:rsidP="00B02D18">
      <w:pPr>
        <w:pStyle w:val="1"/>
        <w:spacing w:before="0" w:beforeAutospacing="0" w:after="0" w:afterAutospacing="0"/>
        <w:jc w:val="both"/>
        <w:rPr>
          <w:b w:val="0"/>
          <w:bCs w:val="0"/>
          <w:sz w:val="28"/>
          <w:szCs w:val="28"/>
        </w:rPr>
      </w:pPr>
    </w:p>
    <w:p w:rsidR="008E6F77" w:rsidRPr="008E6F77" w:rsidRDefault="008E6F77" w:rsidP="00B02D18">
      <w:pPr>
        <w:pStyle w:val="1"/>
        <w:spacing w:before="0" w:beforeAutospacing="0" w:after="0" w:afterAutospacing="0"/>
        <w:jc w:val="both"/>
        <w:rPr>
          <w:b w:val="0"/>
          <w:sz w:val="28"/>
          <w:szCs w:val="28"/>
        </w:rPr>
      </w:pPr>
      <w:hyperlink r:id="rId6" w:tgtFrame="_blank" w:history="1">
        <w:r w:rsidRPr="008E6F77">
          <w:rPr>
            <w:rStyle w:val="a4"/>
            <w:b w:val="0"/>
            <w:color w:val="auto"/>
            <w:sz w:val="28"/>
            <w:szCs w:val="28"/>
            <w:u w:val="none"/>
          </w:rPr>
          <w:t>https://telemost.yandex.ru/j/41796330011109</w:t>
        </w:r>
      </w:hyperlink>
    </w:p>
    <w:p w:rsidR="008E6F77" w:rsidRPr="008E6F77" w:rsidRDefault="008E6F77" w:rsidP="00B02D18">
      <w:pPr>
        <w:pStyle w:val="1"/>
        <w:spacing w:before="0" w:beforeAutospacing="0" w:after="0" w:afterAutospacing="0"/>
        <w:jc w:val="both"/>
        <w:rPr>
          <w:b w:val="0"/>
          <w:sz w:val="28"/>
          <w:szCs w:val="28"/>
        </w:rPr>
      </w:pPr>
    </w:p>
    <w:p w:rsidR="00B02D18" w:rsidRPr="008E6F77" w:rsidRDefault="00B02D18" w:rsidP="00B02D18">
      <w:pPr>
        <w:pStyle w:val="1"/>
        <w:spacing w:before="0" w:beforeAutospacing="0" w:after="0" w:afterAutospacing="0"/>
        <w:jc w:val="both"/>
        <w:rPr>
          <w:b w:val="0"/>
          <w:bCs w:val="0"/>
          <w:sz w:val="28"/>
          <w:szCs w:val="28"/>
        </w:rPr>
      </w:pPr>
      <w:r w:rsidRPr="008E6F77">
        <w:rPr>
          <w:b w:val="0"/>
          <w:bCs w:val="0"/>
          <w:sz w:val="28"/>
          <w:szCs w:val="28"/>
        </w:rPr>
        <w:t>Вопросы на вебинар можно направлять</w:t>
      </w:r>
    </w:p>
    <w:p w:rsidR="00B02D18" w:rsidRPr="008E6F77" w:rsidRDefault="00B02D18" w:rsidP="00B02D18">
      <w:pPr>
        <w:pStyle w:val="1"/>
        <w:spacing w:before="0" w:beforeAutospacing="0" w:after="0" w:afterAutospacing="0"/>
        <w:jc w:val="both"/>
        <w:rPr>
          <w:b w:val="0"/>
          <w:bCs w:val="0"/>
          <w:sz w:val="28"/>
          <w:szCs w:val="28"/>
        </w:rPr>
      </w:pPr>
      <w:r w:rsidRPr="008E6F77">
        <w:rPr>
          <w:b w:val="0"/>
          <w:bCs w:val="0"/>
          <w:sz w:val="28"/>
          <w:szCs w:val="28"/>
        </w:rPr>
        <w:t>на электронную почту: ORN.r8602@tax.gov.</w:t>
      </w:r>
    </w:p>
    <w:p w:rsidR="00B02D18" w:rsidRPr="008E6F77" w:rsidRDefault="00B02D18" w:rsidP="00B02D18">
      <w:pPr>
        <w:pStyle w:val="1"/>
        <w:spacing w:before="0" w:beforeAutospacing="0" w:after="0" w:afterAutospacing="0"/>
        <w:jc w:val="both"/>
        <w:rPr>
          <w:b w:val="0"/>
          <w:bCs w:val="0"/>
          <w:sz w:val="28"/>
          <w:szCs w:val="28"/>
        </w:rPr>
      </w:pPr>
    </w:p>
    <w:p w:rsidR="00B02D18" w:rsidRPr="00905883" w:rsidRDefault="00B02D18" w:rsidP="00B02D18">
      <w:pPr>
        <w:pStyle w:val="1"/>
        <w:spacing w:before="0" w:beforeAutospacing="0" w:after="0" w:afterAutospacing="0"/>
        <w:jc w:val="right"/>
        <w:rPr>
          <w:b w:val="0"/>
          <w:bCs w:val="0"/>
          <w:i/>
          <w:sz w:val="28"/>
          <w:szCs w:val="28"/>
        </w:rPr>
      </w:pPr>
      <w:r w:rsidRPr="00905883">
        <w:rPr>
          <w:b w:val="0"/>
          <w:bCs w:val="0"/>
          <w:i/>
          <w:sz w:val="28"/>
          <w:szCs w:val="28"/>
        </w:rPr>
        <w:t>Всегда рядом! ИФНС России по г. Сургуту</w:t>
      </w:r>
    </w:p>
    <w:p w:rsidR="00B02D18" w:rsidRDefault="00B02D18" w:rsidP="00B02D18">
      <w:pPr>
        <w:pStyle w:val="1"/>
        <w:spacing w:before="0" w:beforeAutospacing="0" w:after="0" w:afterAutospacing="0"/>
        <w:jc w:val="right"/>
        <w:rPr>
          <w:b w:val="0"/>
          <w:bCs w:val="0"/>
          <w:i/>
          <w:sz w:val="28"/>
          <w:szCs w:val="28"/>
        </w:rPr>
      </w:pPr>
      <w:r w:rsidRPr="00905883">
        <w:rPr>
          <w:b w:val="0"/>
          <w:bCs w:val="0"/>
          <w:i/>
          <w:sz w:val="28"/>
          <w:szCs w:val="28"/>
        </w:rPr>
        <w:t>Ханты-Мансийского автономного округа-Югры!</w:t>
      </w:r>
    </w:p>
    <w:p w:rsidR="00B02D18" w:rsidRDefault="00B02D18" w:rsidP="00C33C92">
      <w:pPr>
        <w:spacing w:after="0" w:line="240" w:lineRule="auto"/>
        <w:jc w:val="both"/>
        <w:outlineLvl w:val="0"/>
        <w:rPr>
          <w:rFonts w:ascii="Times New Roman" w:eastAsia="Times New Roman" w:hAnsi="Times New Roman" w:cs="Times New Roman"/>
          <w:b/>
          <w:kern w:val="36"/>
          <w:sz w:val="28"/>
          <w:szCs w:val="28"/>
          <w:lang w:eastAsia="ru-RU"/>
        </w:rPr>
      </w:pPr>
    </w:p>
    <w:p w:rsidR="00B02D18" w:rsidRDefault="00B02D18" w:rsidP="00C33C92">
      <w:pPr>
        <w:spacing w:after="0" w:line="240" w:lineRule="auto"/>
        <w:jc w:val="both"/>
        <w:outlineLvl w:val="0"/>
        <w:rPr>
          <w:rFonts w:ascii="Times New Roman" w:eastAsia="Times New Roman" w:hAnsi="Times New Roman" w:cs="Times New Roman"/>
          <w:b/>
          <w:kern w:val="36"/>
          <w:sz w:val="28"/>
          <w:szCs w:val="28"/>
          <w:lang w:eastAsia="ru-RU"/>
        </w:rPr>
      </w:pPr>
    </w:p>
    <w:p w:rsidR="00B02D18" w:rsidRDefault="00B02D18" w:rsidP="00C33C92">
      <w:pPr>
        <w:spacing w:after="0" w:line="240" w:lineRule="auto"/>
        <w:jc w:val="both"/>
        <w:outlineLvl w:val="0"/>
        <w:rPr>
          <w:rFonts w:ascii="Times New Roman" w:eastAsia="Times New Roman" w:hAnsi="Times New Roman" w:cs="Times New Roman"/>
          <w:b/>
          <w:kern w:val="36"/>
          <w:sz w:val="28"/>
          <w:szCs w:val="28"/>
          <w:lang w:eastAsia="ru-RU"/>
        </w:rPr>
      </w:pPr>
    </w:p>
    <w:p w:rsidR="00E17DEC" w:rsidRPr="00E17DEC" w:rsidRDefault="00E17DEC" w:rsidP="00C33C92">
      <w:pPr>
        <w:spacing w:after="0" w:line="240" w:lineRule="auto"/>
        <w:jc w:val="both"/>
        <w:outlineLvl w:val="0"/>
        <w:rPr>
          <w:rFonts w:ascii="Times New Roman" w:eastAsia="Times New Roman" w:hAnsi="Times New Roman" w:cs="Times New Roman"/>
          <w:b/>
          <w:kern w:val="36"/>
          <w:sz w:val="28"/>
          <w:szCs w:val="28"/>
          <w:lang w:eastAsia="ru-RU"/>
        </w:rPr>
      </w:pPr>
      <w:r w:rsidRPr="00E17DEC">
        <w:rPr>
          <w:rFonts w:ascii="Times New Roman" w:eastAsia="Times New Roman" w:hAnsi="Times New Roman" w:cs="Times New Roman"/>
          <w:b/>
          <w:kern w:val="36"/>
          <w:sz w:val="28"/>
          <w:szCs w:val="28"/>
          <w:lang w:eastAsia="ru-RU"/>
        </w:rPr>
        <w:t>ФНС России выпустила рекомендации по применению налоговой амнистии дробления бизнеса</w:t>
      </w:r>
    </w:p>
    <w:p w:rsidR="00E17DEC" w:rsidRPr="00E17DEC" w:rsidRDefault="00E17DEC" w:rsidP="00C33C92">
      <w:pPr>
        <w:shd w:val="clear" w:color="auto" w:fill="FFFFFF"/>
        <w:spacing w:after="0" w:line="240" w:lineRule="auto"/>
        <w:jc w:val="both"/>
        <w:rPr>
          <w:rFonts w:ascii="Times New Roman" w:eastAsia="Times New Roman" w:hAnsi="Times New Roman" w:cs="Times New Roman"/>
          <w:sz w:val="28"/>
          <w:szCs w:val="28"/>
          <w:lang w:eastAsia="ru-RU"/>
        </w:rPr>
      </w:pPr>
      <w:r w:rsidRPr="00E17DEC">
        <w:rPr>
          <w:rFonts w:ascii="Times New Roman" w:eastAsia="Times New Roman" w:hAnsi="Times New Roman" w:cs="Times New Roman"/>
          <w:sz w:val="28"/>
          <w:szCs w:val="28"/>
          <w:lang w:eastAsia="ru-RU"/>
        </w:rPr>
        <w:t>ФНС России </w:t>
      </w:r>
      <w:hyperlink r:id="rId7" w:tgtFrame="_blank" w:history="1">
        <w:r w:rsidRPr="00C33C92">
          <w:rPr>
            <w:rFonts w:ascii="Times New Roman" w:eastAsia="Times New Roman" w:hAnsi="Times New Roman" w:cs="Times New Roman"/>
            <w:sz w:val="28"/>
            <w:szCs w:val="28"/>
            <w:lang w:eastAsia="ru-RU"/>
          </w:rPr>
          <w:t>подготовила рекомендации</w:t>
        </w:r>
      </w:hyperlink>
      <w:r w:rsidRPr="00E17DEC">
        <w:rPr>
          <w:rFonts w:ascii="Times New Roman" w:eastAsia="Times New Roman" w:hAnsi="Times New Roman" w:cs="Times New Roman"/>
          <w:sz w:val="28"/>
          <w:szCs w:val="28"/>
          <w:lang w:eastAsia="ru-RU"/>
        </w:rPr>
        <w:t> по применению налоговой амнистии дробления бизнеса, где даны подробные ответы на вопросы, что такое налоговая амнистия дробления бизнеса, кто имеет право ею воспользоваться и как отказаться от дробления бизнеса в 2025 году.</w:t>
      </w:r>
    </w:p>
    <w:p w:rsidR="00E17DEC" w:rsidRPr="00E17DEC" w:rsidRDefault="00E17DEC" w:rsidP="00C33C92">
      <w:pPr>
        <w:shd w:val="clear" w:color="auto" w:fill="FFFFFF"/>
        <w:spacing w:after="0" w:line="240" w:lineRule="auto"/>
        <w:jc w:val="both"/>
        <w:rPr>
          <w:rFonts w:ascii="Times New Roman" w:eastAsia="Times New Roman" w:hAnsi="Times New Roman" w:cs="Times New Roman"/>
          <w:sz w:val="28"/>
          <w:szCs w:val="28"/>
          <w:lang w:eastAsia="ru-RU"/>
        </w:rPr>
      </w:pPr>
      <w:r w:rsidRPr="00E17DEC">
        <w:rPr>
          <w:rFonts w:ascii="Times New Roman" w:eastAsia="Times New Roman" w:hAnsi="Times New Roman" w:cs="Times New Roman"/>
          <w:sz w:val="28"/>
          <w:szCs w:val="28"/>
          <w:lang w:eastAsia="ru-RU"/>
        </w:rPr>
        <w:t>Налоговая амнистия дробления бизнеса - это механизм прекращения обязанности по уплате налогов за налоговые периоды 2022 - 2024 годов, соответствующих пеней и штрафов за правонарушения, связанные с дроблением бизнеса. Главное условие применения налоговой амнистии – это отказ от дробления бизнеса в отношении налоговых периодов 2025 и 2026 годов с учетом </w:t>
      </w:r>
      <w:hyperlink r:id="rId8" w:tgtFrame="_blank" w:history="1">
        <w:r w:rsidRPr="00C33C92">
          <w:rPr>
            <w:rFonts w:ascii="Times New Roman" w:eastAsia="Times New Roman" w:hAnsi="Times New Roman" w:cs="Times New Roman"/>
            <w:sz w:val="28"/>
            <w:szCs w:val="28"/>
            <w:lang w:eastAsia="ru-RU"/>
          </w:rPr>
          <w:t>некоторых особенностей</w:t>
        </w:r>
      </w:hyperlink>
      <w:r w:rsidRPr="00E17DEC">
        <w:rPr>
          <w:rFonts w:ascii="Times New Roman" w:eastAsia="Times New Roman" w:hAnsi="Times New Roman" w:cs="Times New Roman"/>
          <w:sz w:val="28"/>
          <w:szCs w:val="28"/>
          <w:lang w:eastAsia="ru-RU"/>
        </w:rPr>
        <w:t>.</w:t>
      </w:r>
    </w:p>
    <w:p w:rsidR="00E17DEC" w:rsidRPr="00E17DEC" w:rsidRDefault="00E17DEC" w:rsidP="00C33C92">
      <w:pPr>
        <w:shd w:val="clear" w:color="auto" w:fill="FFFFFF"/>
        <w:spacing w:after="0" w:line="240" w:lineRule="auto"/>
        <w:jc w:val="both"/>
        <w:rPr>
          <w:rFonts w:ascii="Times New Roman" w:eastAsia="Times New Roman" w:hAnsi="Times New Roman" w:cs="Times New Roman"/>
          <w:sz w:val="28"/>
          <w:szCs w:val="28"/>
          <w:lang w:eastAsia="ru-RU"/>
        </w:rPr>
      </w:pPr>
      <w:r w:rsidRPr="00E17DEC">
        <w:rPr>
          <w:rFonts w:ascii="Times New Roman" w:eastAsia="Times New Roman" w:hAnsi="Times New Roman" w:cs="Times New Roman"/>
          <w:sz w:val="28"/>
          <w:szCs w:val="28"/>
          <w:lang w:eastAsia="ru-RU"/>
        </w:rPr>
        <w:t>Перечень способов добровольного отказа от дробления бизнеса не ограничен.</w:t>
      </w:r>
    </w:p>
    <w:p w:rsidR="00E17DEC" w:rsidRPr="00E17DEC" w:rsidRDefault="00E17DEC" w:rsidP="00C33C92">
      <w:pPr>
        <w:shd w:val="clear" w:color="auto" w:fill="FFFFFF"/>
        <w:spacing w:after="0" w:line="240" w:lineRule="auto"/>
        <w:jc w:val="both"/>
        <w:rPr>
          <w:rFonts w:ascii="Times New Roman" w:eastAsia="Times New Roman" w:hAnsi="Times New Roman" w:cs="Times New Roman"/>
          <w:sz w:val="28"/>
          <w:szCs w:val="28"/>
          <w:lang w:eastAsia="ru-RU"/>
        </w:rPr>
      </w:pPr>
      <w:r w:rsidRPr="00E17DEC">
        <w:rPr>
          <w:rFonts w:ascii="Times New Roman" w:eastAsia="Times New Roman" w:hAnsi="Times New Roman" w:cs="Times New Roman"/>
          <w:sz w:val="28"/>
          <w:szCs w:val="28"/>
          <w:lang w:eastAsia="ru-RU"/>
        </w:rPr>
        <w:t xml:space="preserve">В методических рекомендациях рассмотрены также жизненные ситуации налогоплательщиков и алгоритм их действий в случае добровольного отказа от дробления </w:t>
      </w:r>
      <w:proofErr w:type="gramStart"/>
      <w:r w:rsidRPr="00E17DEC">
        <w:rPr>
          <w:rFonts w:ascii="Times New Roman" w:eastAsia="Times New Roman" w:hAnsi="Times New Roman" w:cs="Times New Roman"/>
          <w:sz w:val="28"/>
          <w:szCs w:val="28"/>
          <w:lang w:eastAsia="ru-RU"/>
        </w:rPr>
        <w:t>бизнеса</w:t>
      </w:r>
      <w:proofErr w:type="gramEnd"/>
      <w:r w:rsidRPr="00E17DEC">
        <w:rPr>
          <w:rFonts w:ascii="Times New Roman" w:eastAsia="Times New Roman" w:hAnsi="Times New Roman" w:cs="Times New Roman"/>
          <w:sz w:val="28"/>
          <w:szCs w:val="28"/>
          <w:lang w:eastAsia="ru-RU"/>
        </w:rPr>
        <w:t xml:space="preserve"> как без изменения организационной структуры бизнеса, так и с ее изменением.</w:t>
      </w:r>
    </w:p>
    <w:p w:rsidR="00E17DEC" w:rsidRPr="00E17DEC" w:rsidRDefault="00E17DEC" w:rsidP="00C33C92">
      <w:pPr>
        <w:shd w:val="clear" w:color="auto" w:fill="FFFFFF"/>
        <w:spacing w:after="0" w:line="240" w:lineRule="auto"/>
        <w:jc w:val="both"/>
        <w:rPr>
          <w:rFonts w:ascii="Times New Roman" w:eastAsia="Times New Roman" w:hAnsi="Times New Roman" w:cs="Times New Roman"/>
          <w:sz w:val="28"/>
          <w:szCs w:val="28"/>
          <w:lang w:eastAsia="ru-RU"/>
        </w:rPr>
      </w:pPr>
      <w:r w:rsidRPr="00E17DEC">
        <w:rPr>
          <w:rFonts w:ascii="Times New Roman" w:eastAsia="Times New Roman" w:hAnsi="Times New Roman" w:cs="Times New Roman"/>
          <w:sz w:val="28"/>
          <w:szCs w:val="28"/>
          <w:lang w:eastAsia="ru-RU"/>
        </w:rPr>
        <w:t xml:space="preserve">Не меняя структуру бизнеса, участники дробления бизнеса могут перейти на общую систему налогообложения либо перевести деятельность на одну из компаний группы. Изменение организационной структуры бизнеса может потребоваться для объединения формально самостоятельных юридических лиц в одно юридическое лицо с возможным созданием по месту ведения ими </w:t>
      </w:r>
      <w:r w:rsidRPr="00E17DEC">
        <w:rPr>
          <w:rFonts w:ascii="Times New Roman" w:eastAsia="Times New Roman" w:hAnsi="Times New Roman" w:cs="Times New Roman"/>
          <w:sz w:val="28"/>
          <w:szCs w:val="28"/>
          <w:lang w:eastAsia="ru-RU"/>
        </w:rPr>
        <w:lastRenderedPageBreak/>
        <w:t>предпринимательской деятельности обособленных подразделений этой организации.</w:t>
      </w:r>
    </w:p>
    <w:p w:rsidR="00E17DEC" w:rsidRPr="00E17DEC" w:rsidRDefault="00E17DEC" w:rsidP="00C33C92">
      <w:pPr>
        <w:shd w:val="clear" w:color="auto" w:fill="FFFFFF"/>
        <w:spacing w:after="0" w:line="240" w:lineRule="auto"/>
        <w:jc w:val="both"/>
        <w:rPr>
          <w:rFonts w:ascii="Times New Roman" w:eastAsia="Times New Roman" w:hAnsi="Times New Roman" w:cs="Times New Roman"/>
          <w:sz w:val="28"/>
          <w:szCs w:val="28"/>
          <w:lang w:eastAsia="ru-RU"/>
        </w:rPr>
      </w:pPr>
      <w:r w:rsidRPr="00E17DEC">
        <w:rPr>
          <w:rFonts w:ascii="Times New Roman" w:eastAsia="Times New Roman" w:hAnsi="Times New Roman" w:cs="Times New Roman"/>
          <w:sz w:val="28"/>
          <w:szCs w:val="28"/>
          <w:lang w:eastAsia="ru-RU"/>
        </w:rPr>
        <w:t>Более подробно с рекомендациями ФНС России, а также иными документами и судебной практикой, можно ознакомиться в специальном разделе сайта «</w:t>
      </w:r>
      <w:hyperlink r:id="rId9" w:tgtFrame="_blank" w:history="1">
        <w:r w:rsidRPr="00C33C92">
          <w:rPr>
            <w:rFonts w:ascii="Times New Roman" w:eastAsia="Times New Roman" w:hAnsi="Times New Roman" w:cs="Times New Roman"/>
            <w:sz w:val="28"/>
            <w:szCs w:val="28"/>
            <w:lang w:eastAsia="ru-RU"/>
          </w:rPr>
          <w:t>Налоговая амнистия дробления бизнеса</w:t>
        </w:r>
      </w:hyperlink>
      <w:r w:rsidRPr="00E17DEC">
        <w:rPr>
          <w:rFonts w:ascii="Times New Roman" w:eastAsia="Times New Roman" w:hAnsi="Times New Roman" w:cs="Times New Roman"/>
          <w:sz w:val="28"/>
          <w:szCs w:val="28"/>
          <w:lang w:eastAsia="ru-RU"/>
        </w:rPr>
        <w:t>».  </w:t>
      </w:r>
    </w:p>
    <w:p w:rsidR="00074F4C" w:rsidRPr="00B02D18" w:rsidRDefault="00074F4C" w:rsidP="00C33C92">
      <w:pPr>
        <w:spacing w:after="0" w:line="240" w:lineRule="auto"/>
        <w:jc w:val="both"/>
        <w:rPr>
          <w:rFonts w:ascii="Times New Roman" w:hAnsi="Times New Roman" w:cs="Times New Roman"/>
          <w:sz w:val="28"/>
          <w:szCs w:val="28"/>
        </w:rPr>
      </w:pPr>
    </w:p>
    <w:p w:rsidR="00E17DEC" w:rsidRPr="00B02D18" w:rsidRDefault="00E17DEC" w:rsidP="00C33C92">
      <w:pPr>
        <w:spacing w:after="0" w:line="240" w:lineRule="auto"/>
        <w:jc w:val="both"/>
        <w:rPr>
          <w:rFonts w:ascii="Times New Roman" w:hAnsi="Times New Roman" w:cs="Times New Roman"/>
          <w:sz w:val="28"/>
          <w:szCs w:val="28"/>
        </w:rPr>
      </w:pPr>
    </w:p>
    <w:p w:rsidR="00E17DEC" w:rsidRPr="00B02D18" w:rsidRDefault="00E17DEC" w:rsidP="00C33C92">
      <w:pPr>
        <w:spacing w:after="0" w:line="240" w:lineRule="auto"/>
        <w:jc w:val="both"/>
        <w:rPr>
          <w:rFonts w:ascii="Times New Roman" w:hAnsi="Times New Roman" w:cs="Times New Roman"/>
          <w:sz w:val="28"/>
          <w:szCs w:val="28"/>
        </w:rPr>
      </w:pPr>
    </w:p>
    <w:p w:rsidR="00E17DEC" w:rsidRPr="00B02D18" w:rsidRDefault="00E17DEC" w:rsidP="00C33C92">
      <w:pPr>
        <w:spacing w:after="0" w:line="240" w:lineRule="auto"/>
        <w:jc w:val="both"/>
        <w:rPr>
          <w:rFonts w:ascii="Times New Roman" w:hAnsi="Times New Roman" w:cs="Times New Roman"/>
          <w:sz w:val="28"/>
          <w:szCs w:val="28"/>
        </w:rPr>
      </w:pPr>
    </w:p>
    <w:p w:rsidR="00E17DEC" w:rsidRPr="00E17DEC" w:rsidRDefault="00E17DEC" w:rsidP="00C33C92">
      <w:pPr>
        <w:spacing w:after="0" w:line="240" w:lineRule="auto"/>
        <w:jc w:val="both"/>
        <w:outlineLvl w:val="0"/>
        <w:rPr>
          <w:rFonts w:ascii="Times New Roman" w:eastAsia="Times New Roman" w:hAnsi="Times New Roman" w:cs="Times New Roman"/>
          <w:b/>
          <w:kern w:val="36"/>
          <w:sz w:val="28"/>
          <w:szCs w:val="28"/>
          <w:lang w:eastAsia="ru-RU"/>
        </w:rPr>
      </w:pPr>
      <w:r w:rsidRPr="00E17DEC">
        <w:rPr>
          <w:rFonts w:ascii="Times New Roman" w:eastAsia="Times New Roman" w:hAnsi="Times New Roman" w:cs="Times New Roman"/>
          <w:b/>
          <w:kern w:val="36"/>
          <w:sz w:val="28"/>
          <w:szCs w:val="28"/>
          <w:lang w:eastAsia="ru-RU"/>
        </w:rPr>
        <w:t>ФНС России подготовила методические рекомендации по НДС для налогоплательщиков УСН</w:t>
      </w:r>
    </w:p>
    <w:p w:rsidR="00E17DEC" w:rsidRPr="00E17DEC" w:rsidRDefault="00E17DEC" w:rsidP="00C33C92">
      <w:pPr>
        <w:shd w:val="clear" w:color="auto" w:fill="FFFFFF"/>
        <w:spacing w:after="0" w:line="240" w:lineRule="auto"/>
        <w:jc w:val="both"/>
        <w:rPr>
          <w:rFonts w:ascii="Times New Roman" w:eastAsia="Times New Roman" w:hAnsi="Times New Roman" w:cs="Times New Roman"/>
          <w:sz w:val="28"/>
          <w:szCs w:val="28"/>
          <w:lang w:eastAsia="ru-RU"/>
        </w:rPr>
      </w:pPr>
      <w:r w:rsidRPr="00E17DEC">
        <w:rPr>
          <w:rFonts w:ascii="Times New Roman" w:eastAsia="Times New Roman" w:hAnsi="Times New Roman" w:cs="Times New Roman"/>
          <w:sz w:val="28"/>
          <w:szCs w:val="28"/>
          <w:lang w:eastAsia="ru-RU"/>
        </w:rPr>
        <w:t>Как заплатить НДС на УСН, если товар оплачен в 2024 году, а отгружен в 2025, кто имеет право на вычет «входного» НДС и какую ставку НДС выбрать – ФНС России подготовила ответы на эти и другие вопросы в </w:t>
      </w:r>
      <w:hyperlink r:id="rId10" w:tgtFrame="_blank" w:history="1">
        <w:r w:rsidRPr="00C33C92">
          <w:rPr>
            <w:rFonts w:ascii="Times New Roman" w:eastAsia="Times New Roman" w:hAnsi="Times New Roman" w:cs="Times New Roman"/>
            <w:sz w:val="28"/>
            <w:szCs w:val="28"/>
            <w:lang w:eastAsia="ru-RU"/>
          </w:rPr>
          <w:t>методических рекомендациях для бизнеса</w:t>
        </w:r>
      </w:hyperlink>
      <w:r w:rsidRPr="00E17DEC">
        <w:rPr>
          <w:rFonts w:ascii="Times New Roman" w:eastAsia="Times New Roman" w:hAnsi="Times New Roman" w:cs="Times New Roman"/>
          <w:sz w:val="28"/>
          <w:szCs w:val="28"/>
          <w:lang w:eastAsia="ru-RU"/>
        </w:rPr>
        <w:t> на УСН.</w:t>
      </w:r>
    </w:p>
    <w:p w:rsidR="00E17DEC" w:rsidRPr="00E17DEC" w:rsidRDefault="00E17DEC" w:rsidP="00C33C92">
      <w:pPr>
        <w:shd w:val="clear" w:color="auto" w:fill="FFFFFF"/>
        <w:spacing w:after="0" w:line="240" w:lineRule="auto"/>
        <w:jc w:val="both"/>
        <w:rPr>
          <w:rFonts w:ascii="Times New Roman" w:eastAsia="Times New Roman" w:hAnsi="Times New Roman" w:cs="Times New Roman"/>
          <w:sz w:val="28"/>
          <w:szCs w:val="28"/>
          <w:lang w:eastAsia="ru-RU"/>
        </w:rPr>
      </w:pPr>
      <w:r w:rsidRPr="00E17DEC">
        <w:rPr>
          <w:rFonts w:ascii="Times New Roman" w:eastAsia="Times New Roman" w:hAnsi="Times New Roman" w:cs="Times New Roman"/>
          <w:sz w:val="28"/>
          <w:szCs w:val="28"/>
          <w:lang w:eastAsia="ru-RU"/>
        </w:rPr>
        <w:t xml:space="preserve">С 1 января 2025 года организации и индивидуальные предприниматели на УСН признаются плательщиками НДС. Освобождены от этой обязанности только те, у кого доходы за 2024 год не превысят 60 </w:t>
      </w:r>
      <w:proofErr w:type="gramStart"/>
      <w:r w:rsidRPr="00E17DEC">
        <w:rPr>
          <w:rFonts w:ascii="Times New Roman" w:eastAsia="Times New Roman" w:hAnsi="Times New Roman" w:cs="Times New Roman"/>
          <w:sz w:val="28"/>
          <w:szCs w:val="28"/>
          <w:lang w:eastAsia="ru-RU"/>
        </w:rPr>
        <w:t>млн</w:t>
      </w:r>
      <w:proofErr w:type="gramEnd"/>
      <w:r w:rsidRPr="00E17DEC">
        <w:rPr>
          <w:rFonts w:ascii="Times New Roman" w:eastAsia="Times New Roman" w:hAnsi="Times New Roman" w:cs="Times New Roman"/>
          <w:sz w:val="28"/>
          <w:szCs w:val="28"/>
          <w:lang w:eastAsia="ru-RU"/>
        </w:rPr>
        <w:t xml:space="preserve"> рублей. Освобождение автоматическое, специально обращаться в </w:t>
      </w:r>
      <w:proofErr w:type="gramStart"/>
      <w:r w:rsidRPr="00E17DEC">
        <w:rPr>
          <w:rFonts w:ascii="Times New Roman" w:eastAsia="Times New Roman" w:hAnsi="Times New Roman" w:cs="Times New Roman"/>
          <w:sz w:val="28"/>
          <w:szCs w:val="28"/>
          <w:lang w:eastAsia="ru-RU"/>
        </w:rPr>
        <w:t>налоговую</w:t>
      </w:r>
      <w:proofErr w:type="gramEnd"/>
      <w:r w:rsidRPr="00E17DEC">
        <w:rPr>
          <w:rFonts w:ascii="Times New Roman" w:eastAsia="Times New Roman" w:hAnsi="Times New Roman" w:cs="Times New Roman"/>
          <w:sz w:val="28"/>
          <w:szCs w:val="28"/>
          <w:lang w:eastAsia="ru-RU"/>
        </w:rPr>
        <w:t xml:space="preserve"> с каким-либо заявлением не нужно. При этом, как и ранее, от обложения НДС не освобождаются операции, когда налогоплательщик УСН является налоговым агентом по НДС или когда он должен уплатить НДС при ввозе товаров.</w:t>
      </w:r>
    </w:p>
    <w:p w:rsidR="00E17DEC" w:rsidRPr="00E17DEC" w:rsidRDefault="00E17DEC" w:rsidP="00C33C92">
      <w:pPr>
        <w:shd w:val="clear" w:color="auto" w:fill="FFFFFF"/>
        <w:spacing w:after="0" w:line="240" w:lineRule="auto"/>
        <w:jc w:val="both"/>
        <w:rPr>
          <w:rFonts w:ascii="Times New Roman" w:eastAsia="Times New Roman" w:hAnsi="Times New Roman" w:cs="Times New Roman"/>
          <w:sz w:val="28"/>
          <w:szCs w:val="28"/>
          <w:lang w:eastAsia="ru-RU"/>
        </w:rPr>
      </w:pPr>
      <w:r w:rsidRPr="00E17DEC">
        <w:rPr>
          <w:rFonts w:ascii="Times New Roman" w:eastAsia="Times New Roman" w:hAnsi="Times New Roman" w:cs="Times New Roman"/>
          <w:sz w:val="28"/>
          <w:szCs w:val="28"/>
          <w:lang w:eastAsia="ru-RU"/>
        </w:rPr>
        <w:t xml:space="preserve">В методических рекомендациях рассмотрены также жизненные ситуации налогоплательщиков и алгоритм их действий в том или ином случае. Например, если в 2024 году доходы налогоплательщика не превысили 60 </w:t>
      </w:r>
      <w:proofErr w:type="gramStart"/>
      <w:r w:rsidRPr="00E17DEC">
        <w:rPr>
          <w:rFonts w:ascii="Times New Roman" w:eastAsia="Times New Roman" w:hAnsi="Times New Roman" w:cs="Times New Roman"/>
          <w:sz w:val="28"/>
          <w:szCs w:val="28"/>
          <w:lang w:eastAsia="ru-RU"/>
        </w:rPr>
        <w:t>млн</w:t>
      </w:r>
      <w:proofErr w:type="gramEnd"/>
      <w:r w:rsidRPr="00E17DEC">
        <w:rPr>
          <w:rFonts w:ascii="Times New Roman" w:eastAsia="Times New Roman" w:hAnsi="Times New Roman" w:cs="Times New Roman"/>
          <w:sz w:val="28"/>
          <w:szCs w:val="28"/>
          <w:lang w:eastAsia="ru-RU"/>
        </w:rPr>
        <w:t xml:space="preserve"> рублей, то с 1 января 2025 года НДС он не платит. Но если в течение следующего года его доход превысит отметку в 60 </w:t>
      </w:r>
      <w:proofErr w:type="gramStart"/>
      <w:r w:rsidRPr="00E17DEC">
        <w:rPr>
          <w:rFonts w:ascii="Times New Roman" w:eastAsia="Times New Roman" w:hAnsi="Times New Roman" w:cs="Times New Roman"/>
          <w:sz w:val="28"/>
          <w:szCs w:val="28"/>
          <w:lang w:eastAsia="ru-RU"/>
        </w:rPr>
        <w:t>млн</w:t>
      </w:r>
      <w:proofErr w:type="gramEnd"/>
      <w:r w:rsidRPr="00E17DEC">
        <w:rPr>
          <w:rFonts w:ascii="Times New Roman" w:eastAsia="Times New Roman" w:hAnsi="Times New Roman" w:cs="Times New Roman"/>
          <w:sz w:val="28"/>
          <w:szCs w:val="28"/>
          <w:lang w:eastAsia="ru-RU"/>
        </w:rPr>
        <w:t xml:space="preserve"> рублей, то уже с первого числа следующего месяца он станет плательщиком НДС. При этом критерий в 60 </w:t>
      </w:r>
      <w:proofErr w:type="gramStart"/>
      <w:r w:rsidRPr="00E17DEC">
        <w:rPr>
          <w:rFonts w:ascii="Times New Roman" w:eastAsia="Times New Roman" w:hAnsi="Times New Roman" w:cs="Times New Roman"/>
          <w:sz w:val="28"/>
          <w:szCs w:val="28"/>
          <w:lang w:eastAsia="ru-RU"/>
        </w:rPr>
        <w:t>млн</w:t>
      </w:r>
      <w:proofErr w:type="gramEnd"/>
      <w:r w:rsidRPr="00E17DEC">
        <w:rPr>
          <w:rFonts w:ascii="Times New Roman" w:eastAsia="Times New Roman" w:hAnsi="Times New Roman" w:cs="Times New Roman"/>
          <w:sz w:val="28"/>
          <w:szCs w:val="28"/>
          <w:lang w:eastAsia="ru-RU"/>
        </w:rPr>
        <w:t xml:space="preserve"> рублей оценивается ежегодно.</w:t>
      </w:r>
    </w:p>
    <w:p w:rsidR="00E17DEC" w:rsidRPr="00E17DEC" w:rsidRDefault="00E17DEC" w:rsidP="00C33C92">
      <w:pPr>
        <w:shd w:val="clear" w:color="auto" w:fill="FFFFFF"/>
        <w:spacing w:after="0" w:line="240" w:lineRule="auto"/>
        <w:jc w:val="both"/>
        <w:rPr>
          <w:rFonts w:ascii="Times New Roman" w:eastAsia="Times New Roman" w:hAnsi="Times New Roman" w:cs="Times New Roman"/>
          <w:sz w:val="28"/>
          <w:szCs w:val="28"/>
          <w:lang w:eastAsia="ru-RU"/>
        </w:rPr>
      </w:pPr>
      <w:r w:rsidRPr="00E17DEC">
        <w:rPr>
          <w:rFonts w:ascii="Times New Roman" w:eastAsia="Times New Roman" w:hAnsi="Times New Roman" w:cs="Times New Roman"/>
          <w:sz w:val="28"/>
          <w:szCs w:val="28"/>
          <w:lang w:eastAsia="ru-RU"/>
        </w:rPr>
        <w:t xml:space="preserve">Аналогичный подход к организациям и ИП, которые только будут созданы после 1 января 2025 года. Предприниматель освобождается от уплаты НДС, пока его доход не превысит планку в 60 </w:t>
      </w:r>
      <w:proofErr w:type="gramStart"/>
      <w:r w:rsidRPr="00E17DEC">
        <w:rPr>
          <w:rFonts w:ascii="Times New Roman" w:eastAsia="Times New Roman" w:hAnsi="Times New Roman" w:cs="Times New Roman"/>
          <w:sz w:val="28"/>
          <w:szCs w:val="28"/>
          <w:lang w:eastAsia="ru-RU"/>
        </w:rPr>
        <w:t>млн</w:t>
      </w:r>
      <w:proofErr w:type="gramEnd"/>
      <w:r w:rsidRPr="00E17DEC">
        <w:rPr>
          <w:rFonts w:ascii="Times New Roman" w:eastAsia="Times New Roman" w:hAnsi="Times New Roman" w:cs="Times New Roman"/>
          <w:sz w:val="28"/>
          <w:szCs w:val="28"/>
          <w:lang w:eastAsia="ru-RU"/>
        </w:rPr>
        <w:t xml:space="preserve"> рублей.</w:t>
      </w:r>
    </w:p>
    <w:p w:rsidR="00E17DEC" w:rsidRPr="00E17DEC" w:rsidRDefault="00E17DEC" w:rsidP="00C33C92">
      <w:pPr>
        <w:shd w:val="clear" w:color="auto" w:fill="FFFFFF"/>
        <w:spacing w:after="0" w:line="240" w:lineRule="auto"/>
        <w:jc w:val="both"/>
        <w:rPr>
          <w:rFonts w:ascii="Times New Roman" w:eastAsia="Times New Roman" w:hAnsi="Times New Roman" w:cs="Times New Roman"/>
          <w:sz w:val="28"/>
          <w:szCs w:val="28"/>
          <w:lang w:eastAsia="ru-RU"/>
        </w:rPr>
      </w:pPr>
      <w:r w:rsidRPr="00E17DEC">
        <w:rPr>
          <w:rFonts w:ascii="Times New Roman" w:eastAsia="Times New Roman" w:hAnsi="Times New Roman" w:cs="Times New Roman"/>
          <w:sz w:val="28"/>
          <w:szCs w:val="28"/>
          <w:lang w:eastAsia="ru-RU"/>
        </w:rPr>
        <w:t>По общему правилу объектом обложения НДС признаются операции по реализации товаров (работ, услуг) на территории РФ, а также передача имущественных прав. Налоговой базой по НДС является стоимость реализованных товаров, работ, услуг (с учетом акциза для подакцизных товаров), то есть НДС рассчитывается путем умножения цены реализации (с учетом акциза для подакцизных товаров) на ставку НДС.</w:t>
      </w:r>
    </w:p>
    <w:p w:rsidR="00E17DEC" w:rsidRPr="00E17DEC" w:rsidRDefault="00E17DEC" w:rsidP="00C33C92">
      <w:pPr>
        <w:shd w:val="clear" w:color="auto" w:fill="FFFFFF"/>
        <w:spacing w:after="0" w:line="240" w:lineRule="auto"/>
        <w:jc w:val="both"/>
        <w:rPr>
          <w:rFonts w:ascii="Times New Roman" w:eastAsia="Times New Roman" w:hAnsi="Times New Roman" w:cs="Times New Roman"/>
          <w:sz w:val="28"/>
          <w:szCs w:val="28"/>
          <w:lang w:eastAsia="ru-RU"/>
        </w:rPr>
      </w:pPr>
      <w:r w:rsidRPr="00E17DEC">
        <w:rPr>
          <w:rFonts w:ascii="Times New Roman" w:eastAsia="Times New Roman" w:hAnsi="Times New Roman" w:cs="Times New Roman"/>
          <w:sz w:val="28"/>
          <w:szCs w:val="28"/>
          <w:lang w:eastAsia="ru-RU"/>
        </w:rPr>
        <w:t xml:space="preserve">Налогоплательщик УСН, который обязан платить НДС с 1 января 2025 года, вправе применять общеустановленные ставки НДС (20%, 10%, 0%) или выбрать одну из специальных ставок 5% или 7%. Последние зависят от полученного годового дохода – от 60 </w:t>
      </w:r>
      <w:proofErr w:type="gramStart"/>
      <w:r w:rsidRPr="00E17DEC">
        <w:rPr>
          <w:rFonts w:ascii="Times New Roman" w:eastAsia="Times New Roman" w:hAnsi="Times New Roman" w:cs="Times New Roman"/>
          <w:sz w:val="28"/>
          <w:szCs w:val="28"/>
          <w:lang w:eastAsia="ru-RU"/>
        </w:rPr>
        <w:t>млн</w:t>
      </w:r>
      <w:proofErr w:type="gramEnd"/>
      <w:r w:rsidRPr="00E17DEC">
        <w:rPr>
          <w:rFonts w:ascii="Times New Roman" w:eastAsia="Times New Roman" w:hAnsi="Times New Roman" w:cs="Times New Roman"/>
          <w:sz w:val="28"/>
          <w:szCs w:val="28"/>
          <w:lang w:eastAsia="ru-RU"/>
        </w:rPr>
        <w:t xml:space="preserve"> рублей до 250 млн рублей и от 250 млн рублей до 450 млн рублей соответственно. При выборе ставки бизнесу нужно учитывать не только свои доходы, но и то, какие операции он чаще всего проводит. В некоторых случаях, уплата НДС по ставке 20% и </w:t>
      </w:r>
      <w:r w:rsidRPr="00E17DEC">
        <w:rPr>
          <w:rFonts w:ascii="Times New Roman" w:eastAsia="Times New Roman" w:hAnsi="Times New Roman" w:cs="Times New Roman"/>
          <w:sz w:val="28"/>
          <w:szCs w:val="28"/>
          <w:lang w:eastAsia="ru-RU"/>
        </w:rPr>
        <w:lastRenderedPageBreak/>
        <w:t>возможность принимать к вычету «входной» НДС может быть выгоднее, чем ставка 5% или 7%, но без вычета.</w:t>
      </w:r>
    </w:p>
    <w:p w:rsidR="00E17DEC" w:rsidRPr="00B02D18" w:rsidRDefault="00E17DEC" w:rsidP="00C33C92">
      <w:pPr>
        <w:spacing w:after="0" w:line="240" w:lineRule="auto"/>
        <w:jc w:val="both"/>
        <w:rPr>
          <w:rFonts w:ascii="Times New Roman" w:hAnsi="Times New Roman" w:cs="Times New Roman"/>
          <w:sz w:val="28"/>
          <w:szCs w:val="28"/>
        </w:rPr>
      </w:pPr>
    </w:p>
    <w:p w:rsidR="00E17DEC" w:rsidRPr="00B02D18" w:rsidRDefault="00E17DEC" w:rsidP="00C33C92">
      <w:pPr>
        <w:spacing w:after="0" w:line="240" w:lineRule="auto"/>
        <w:jc w:val="both"/>
        <w:rPr>
          <w:rFonts w:ascii="Times New Roman" w:hAnsi="Times New Roman" w:cs="Times New Roman"/>
          <w:sz w:val="28"/>
          <w:szCs w:val="28"/>
        </w:rPr>
      </w:pPr>
    </w:p>
    <w:p w:rsidR="00E17DEC" w:rsidRPr="00B02D18" w:rsidRDefault="00E17DEC" w:rsidP="00C33C92">
      <w:pPr>
        <w:spacing w:after="0" w:line="240" w:lineRule="auto"/>
        <w:jc w:val="both"/>
        <w:rPr>
          <w:rFonts w:ascii="Times New Roman" w:hAnsi="Times New Roman" w:cs="Times New Roman"/>
          <w:sz w:val="28"/>
          <w:szCs w:val="28"/>
        </w:rPr>
      </w:pPr>
    </w:p>
    <w:p w:rsidR="00E17DEC" w:rsidRPr="00B02D18" w:rsidRDefault="00E17DEC" w:rsidP="00C33C92">
      <w:pPr>
        <w:spacing w:after="0" w:line="240" w:lineRule="auto"/>
        <w:jc w:val="both"/>
        <w:rPr>
          <w:rFonts w:ascii="Times New Roman" w:hAnsi="Times New Roman" w:cs="Times New Roman"/>
          <w:sz w:val="28"/>
          <w:szCs w:val="28"/>
        </w:rPr>
      </w:pPr>
    </w:p>
    <w:p w:rsidR="00E17DEC" w:rsidRPr="00E17DEC" w:rsidRDefault="00E17DEC" w:rsidP="00C33C92">
      <w:pPr>
        <w:spacing w:after="0" w:line="240" w:lineRule="auto"/>
        <w:jc w:val="both"/>
        <w:outlineLvl w:val="0"/>
        <w:rPr>
          <w:rFonts w:ascii="Times New Roman" w:eastAsia="Times New Roman" w:hAnsi="Times New Roman" w:cs="Times New Roman"/>
          <w:b/>
          <w:kern w:val="36"/>
          <w:sz w:val="28"/>
          <w:szCs w:val="28"/>
          <w:lang w:eastAsia="ru-RU"/>
        </w:rPr>
      </w:pPr>
      <w:r w:rsidRPr="00E17DEC">
        <w:rPr>
          <w:rFonts w:ascii="Times New Roman" w:eastAsia="Times New Roman" w:hAnsi="Times New Roman" w:cs="Times New Roman"/>
          <w:b/>
          <w:kern w:val="36"/>
          <w:sz w:val="28"/>
          <w:szCs w:val="28"/>
          <w:lang w:eastAsia="ru-RU"/>
        </w:rPr>
        <w:t>К сервису «Старт Бизнеса Онлайн» подключились новые банки</w:t>
      </w:r>
    </w:p>
    <w:p w:rsidR="00E17DEC" w:rsidRPr="00E17DEC" w:rsidRDefault="00E17DEC" w:rsidP="00C33C92">
      <w:pPr>
        <w:shd w:val="clear" w:color="auto" w:fill="FFFFFF"/>
        <w:spacing w:after="0" w:line="240" w:lineRule="auto"/>
        <w:jc w:val="both"/>
        <w:rPr>
          <w:rFonts w:ascii="Times New Roman" w:eastAsia="Times New Roman" w:hAnsi="Times New Roman" w:cs="Times New Roman"/>
          <w:sz w:val="28"/>
          <w:szCs w:val="28"/>
          <w:lang w:eastAsia="ru-RU"/>
        </w:rPr>
      </w:pPr>
      <w:r w:rsidRPr="00E17DEC">
        <w:rPr>
          <w:rFonts w:ascii="Times New Roman" w:eastAsia="Times New Roman" w:hAnsi="Times New Roman" w:cs="Times New Roman"/>
          <w:sz w:val="28"/>
          <w:szCs w:val="28"/>
          <w:lang w:eastAsia="ru-RU"/>
        </w:rPr>
        <w:t>Расширилось количество банков-партнеров, подключенных к комплексному сервису «</w:t>
      </w:r>
      <w:hyperlink r:id="rId11" w:anchor="ip" w:tgtFrame="_blank" w:history="1">
        <w:r w:rsidRPr="00C33C92">
          <w:rPr>
            <w:rFonts w:ascii="Times New Roman" w:eastAsia="Times New Roman" w:hAnsi="Times New Roman" w:cs="Times New Roman"/>
            <w:sz w:val="28"/>
            <w:szCs w:val="28"/>
            <w:lang w:eastAsia="ru-RU"/>
          </w:rPr>
          <w:t>Старт Бизнеса Онлайн</w:t>
        </w:r>
      </w:hyperlink>
      <w:r w:rsidRPr="00E17DEC">
        <w:rPr>
          <w:rFonts w:ascii="Times New Roman" w:eastAsia="Times New Roman" w:hAnsi="Times New Roman" w:cs="Times New Roman"/>
          <w:sz w:val="28"/>
          <w:szCs w:val="28"/>
          <w:lang w:eastAsia="ru-RU"/>
        </w:rPr>
        <w:t xml:space="preserve">». Таким образом, у бизнеса, который только открывает ИП или организацию, больше возможностей открыть банковский счет в </w:t>
      </w:r>
      <w:proofErr w:type="gramStart"/>
      <w:r w:rsidRPr="00E17DEC">
        <w:rPr>
          <w:rFonts w:ascii="Times New Roman" w:eastAsia="Times New Roman" w:hAnsi="Times New Roman" w:cs="Times New Roman"/>
          <w:sz w:val="28"/>
          <w:szCs w:val="28"/>
          <w:lang w:eastAsia="ru-RU"/>
        </w:rPr>
        <w:t>привычной ему</w:t>
      </w:r>
      <w:proofErr w:type="gramEnd"/>
      <w:r w:rsidRPr="00E17DEC">
        <w:rPr>
          <w:rFonts w:ascii="Times New Roman" w:eastAsia="Times New Roman" w:hAnsi="Times New Roman" w:cs="Times New Roman"/>
          <w:sz w:val="28"/>
          <w:szCs w:val="28"/>
          <w:lang w:eastAsia="ru-RU"/>
        </w:rPr>
        <w:t xml:space="preserve"> кредитной организации.</w:t>
      </w:r>
    </w:p>
    <w:p w:rsidR="00E17DEC" w:rsidRPr="00E17DEC" w:rsidRDefault="00E17DEC" w:rsidP="00C33C92">
      <w:pPr>
        <w:shd w:val="clear" w:color="auto" w:fill="FFFFFF"/>
        <w:spacing w:after="0" w:line="240" w:lineRule="auto"/>
        <w:jc w:val="both"/>
        <w:rPr>
          <w:rFonts w:ascii="Times New Roman" w:eastAsia="Times New Roman" w:hAnsi="Times New Roman" w:cs="Times New Roman"/>
          <w:sz w:val="28"/>
          <w:szCs w:val="28"/>
          <w:lang w:eastAsia="ru-RU"/>
        </w:rPr>
      </w:pPr>
      <w:r w:rsidRPr="00E17DEC">
        <w:rPr>
          <w:rFonts w:ascii="Times New Roman" w:eastAsia="Times New Roman" w:hAnsi="Times New Roman" w:cs="Times New Roman"/>
          <w:sz w:val="28"/>
          <w:szCs w:val="28"/>
          <w:lang w:eastAsia="ru-RU"/>
        </w:rPr>
        <w:t xml:space="preserve">Помимо Банка ВТБ, Газпромбанка, Промсвязьбанка, </w:t>
      </w:r>
      <w:proofErr w:type="spellStart"/>
      <w:r w:rsidRPr="00E17DEC">
        <w:rPr>
          <w:rFonts w:ascii="Times New Roman" w:eastAsia="Times New Roman" w:hAnsi="Times New Roman" w:cs="Times New Roman"/>
          <w:sz w:val="28"/>
          <w:szCs w:val="28"/>
          <w:lang w:eastAsia="ru-RU"/>
        </w:rPr>
        <w:t>Сбера</w:t>
      </w:r>
      <w:proofErr w:type="spellEnd"/>
      <w:r w:rsidRPr="00E17DEC">
        <w:rPr>
          <w:rFonts w:ascii="Times New Roman" w:eastAsia="Times New Roman" w:hAnsi="Times New Roman" w:cs="Times New Roman"/>
          <w:sz w:val="28"/>
          <w:szCs w:val="28"/>
          <w:lang w:eastAsia="ru-RU"/>
        </w:rPr>
        <w:t xml:space="preserve"> в сентябре к сервису присоединились Т-Банк и Банк Точка. Также еще несколько банков находятся на этапе подключения.</w:t>
      </w:r>
    </w:p>
    <w:p w:rsidR="00E17DEC" w:rsidRPr="00E17DEC" w:rsidRDefault="00E17DEC" w:rsidP="00C33C92">
      <w:pPr>
        <w:shd w:val="clear" w:color="auto" w:fill="FFFFFF"/>
        <w:spacing w:after="0" w:line="240" w:lineRule="auto"/>
        <w:jc w:val="both"/>
        <w:rPr>
          <w:rFonts w:ascii="Times New Roman" w:eastAsia="Times New Roman" w:hAnsi="Times New Roman" w:cs="Times New Roman"/>
          <w:sz w:val="28"/>
          <w:szCs w:val="28"/>
          <w:lang w:eastAsia="ru-RU"/>
        </w:rPr>
      </w:pPr>
      <w:r w:rsidRPr="00E17DEC">
        <w:rPr>
          <w:rFonts w:ascii="Times New Roman" w:eastAsia="Times New Roman" w:hAnsi="Times New Roman" w:cs="Times New Roman"/>
          <w:sz w:val="28"/>
          <w:szCs w:val="28"/>
          <w:lang w:eastAsia="ru-RU"/>
        </w:rPr>
        <w:t>Комплексный сервис «Старт бизнеса онлайн» был </w:t>
      </w:r>
      <w:hyperlink r:id="rId12" w:tgtFrame="_blank" w:history="1">
        <w:r w:rsidRPr="00C33C92">
          <w:rPr>
            <w:rFonts w:ascii="Times New Roman" w:eastAsia="Times New Roman" w:hAnsi="Times New Roman" w:cs="Times New Roman"/>
            <w:sz w:val="28"/>
            <w:szCs w:val="28"/>
            <w:lang w:eastAsia="ru-RU"/>
          </w:rPr>
          <w:t>запущен в марте 2024 года</w:t>
        </w:r>
      </w:hyperlink>
      <w:r w:rsidRPr="00E17DEC">
        <w:rPr>
          <w:rFonts w:ascii="Times New Roman" w:eastAsia="Times New Roman" w:hAnsi="Times New Roman" w:cs="Times New Roman"/>
          <w:sz w:val="28"/>
          <w:szCs w:val="28"/>
          <w:lang w:eastAsia="ru-RU"/>
        </w:rPr>
        <w:t xml:space="preserve">. В рамках одной услуги предприниматель может зарегистрировать бизнес, получить электронную подпись без личного обращения в Удостоверяющий центр ФНС России и открыть счет в банке. Важное условие – заявитель должен иметь подтвержденную учетную запись на портале </w:t>
      </w:r>
      <w:proofErr w:type="spellStart"/>
      <w:r w:rsidRPr="00E17DEC">
        <w:rPr>
          <w:rFonts w:ascii="Times New Roman" w:eastAsia="Times New Roman" w:hAnsi="Times New Roman" w:cs="Times New Roman"/>
          <w:sz w:val="28"/>
          <w:szCs w:val="28"/>
          <w:lang w:eastAsia="ru-RU"/>
        </w:rPr>
        <w:t>Госуслуг</w:t>
      </w:r>
      <w:proofErr w:type="spellEnd"/>
      <w:r w:rsidRPr="00E17DEC">
        <w:rPr>
          <w:rFonts w:ascii="Times New Roman" w:eastAsia="Times New Roman" w:hAnsi="Times New Roman" w:cs="Times New Roman"/>
          <w:sz w:val="28"/>
          <w:szCs w:val="28"/>
          <w:lang w:eastAsia="ru-RU"/>
        </w:rPr>
        <w:t xml:space="preserve"> и подтвержденную биометрию в </w:t>
      </w:r>
      <w:hyperlink r:id="rId13" w:tgtFrame="_blank" w:history="1">
        <w:r w:rsidRPr="00C33C92">
          <w:rPr>
            <w:rFonts w:ascii="Times New Roman" w:eastAsia="Times New Roman" w:hAnsi="Times New Roman" w:cs="Times New Roman"/>
            <w:sz w:val="28"/>
            <w:szCs w:val="28"/>
            <w:lang w:eastAsia="ru-RU"/>
          </w:rPr>
          <w:t>Единой биометрической системе</w:t>
        </w:r>
      </w:hyperlink>
      <w:r w:rsidRPr="00E17DEC">
        <w:rPr>
          <w:rFonts w:ascii="Times New Roman" w:eastAsia="Times New Roman" w:hAnsi="Times New Roman" w:cs="Times New Roman"/>
          <w:sz w:val="28"/>
          <w:szCs w:val="28"/>
          <w:lang w:eastAsia="ru-RU"/>
        </w:rPr>
        <w:t>.</w:t>
      </w:r>
    </w:p>
    <w:p w:rsidR="00E17DEC" w:rsidRPr="00E17DEC" w:rsidRDefault="00E17DEC" w:rsidP="00C33C92">
      <w:pPr>
        <w:shd w:val="clear" w:color="auto" w:fill="FFFFFF"/>
        <w:spacing w:after="0" w:line="240" w:lineRule="auto"/>
        <w:jc w:val="both"/>
        <w:rPr>
          <w:rFonts w:ascii="Times New Roman" w:eastAsia="Times New Roman" w:hAnsi="Times New Roman" w:cs="Times New Roman"/>
          <w:sz w:val="28"/>
          <w:szCs w:val="28"/>
          <w:lang w:eastAsia="ru-RU"/>
        </w:rPr>
      </w:pPr>
      <w:r w:rsidRPr="00E17DEC">
        <w:rPr>
          <w:rFonts w:ascii="Times New Roman" w:eastAsia="Times New Roman" w:hAnsi="Times New Roman" w:cs="Times New Roman"/>
          <w:sz w:val="28"/>
          <w:szCs w:val="28"/>
          <w:lang w:eastAsia="ru-RU"/>
        </w:rPr>
        <w:t>При подготовке документов для регистрации бизнеса заявителю необходимо выбрать банк, в котором он откроет счет, затем дать согласие на удаленную выдачу электронной подписи и направить документы для регистрации бизнеса и открытия счета, через </w:t>
      </w:r>
      <w:hyperlink r:id="rId14" w:tgtFrame="_blank" w:history="1">
        <w:r w:rsidRPr="00C33C92">
          <w:rPr>
            <w:rFonts w:ascii="Times New Roman" w:eastAsia="Times New Roman" w:hAnsi="Times New Roman" w:cs="Times New Roman"/>
            <w:sz w:val="28"/>
            <w:szCs w:val="28"/>
            <w:lang w:eastAsia="ru-RU"/>
          </w:rPr>
          <w:t>сервис ФНС России</w:t>
        </w:r>
      </w:hyperlink>
      <w:r w:rsidRPr="00E17DEC">
        <w:rPr>
          <w:rFonts w:ascii="Times New Roman" w:eastAsia="Times New Roman" w:hAnsi="Times New Roman" w:cs="Times New Roman"/>
          <w:sz w:val="28"/>
          <w:szCs w:val="28"/>
          <w:lang w:eastAsia="ru-RU"/>
        </w:rPr>
        <w:t>.</w:t>
      </w:r>
    </w:p>
    <w:p w:rsidR="00E17DEC" w:rsidRPr="00E17DEC" w:rsidRDefault="00E17DEC" w:rsidP="00C33C92">
      <w:pPr>
        <w:shd w:val="clear" w:color="auto" w:fill="FFFFFF"/>
        <w:spacing w:after="0" w:line="240" w:lineRule="auto"/>
        <w:jc w:val="both"/>
        <w:rPr>
          <w:rFonts w:ascii="Times New Roman" w:eastAsia="Times New Roman" w:hAnsi="Times New Roman" w:cs="Times New Roman"/>
          <w:sz w:val="28"/>
          <w:szCs w:val="28"/>
          <w:lang w:eastAsia="ru-RU"/>
        </w:rPr>
      </w:pPr>
      <w:r w:rsidRPr="00E17DEC">
        <w:rPr>
          <w:rFonts w:ascii="Times New Roman" w:eastAsia="Times New Roman" w:hAnsi="Times New Roman" w:cs="Times New Roman"/>
          <w:sz w:val="28"/>
          <w:szCs w:val="28"/>
          <w:lang w:eastAsia="ru-RU"/>
        </w:rPr>
        <w:t>Как рассказал в своем интервью член Общественного совета при ФНС России, председатель рабочих групп «Регистрация» и «Цифровые сервисы» </w:t>
      </w:r>
      <w:r w:rsidRPr="00C33C92">
        <w:rPr>
          <w:rFonts w:ascii="Times New Roman" w:eastAsia="Times New Roman" w:hAnsi="Times New Roman" w:cs="Times New Roman"/>
          <w:b/>
          <w:bCs/>
          <w:sz w:val="28"/>
          <w:szCs w:val="28"/>
          <w:lang w:eastAsia="ru-RU"/>
        </w:rPr>
        <w:t>Владимир Герасимов</w:t>
      </w:r>
      <w:r w:rsidRPr="00E17DEC">
        <w:rPr>
          <w:rFonts w:ascii="Times New Roman" w:eastAsia="Times New Roman" w:hAnsi="Times New Roman" w:cs="Times New Roman"/>
          <w:sz w:val="28"/>
          <w:szCs w:val="28"/>
          <w:lang w:eastAsia="ru-RU"/>
        </w:rPr>
        <w:t xml:space="preserve">, бизнес уже успел оценить сервис: «Мы как члены Общественного совета, безусловно, отслеживаем обратную связь не только от </w:t>
      </w:r>
      <w:proofErr w:type="gramStart"/>
      <w:r w:rsidRPr="00E17DEC">
        <w:rPr>
          <w:rFonts w:ascii="Times New Roman" w:eastAsia="Times New Roman" w:hAnsi="Times New Roman" w:cs="Times New Roman"/>
          <w:sz w:val="28"/>
          <w:szCs w:val="28"/>
          <w:lang w:eastAsia="ru-RU"/>
        </w:rPr>
        <w:t>бизнес-сообществ</w:t>
      </w:r>
      <w:proofErr w:type="gramEnd"/>
      <w:r w:rsidRPr="00E17DEC">
        <w:rPr>
          <w:rFonts w:ascii="Times New Roman" w:eastAsia="Times New Roman" w:hAnsi="Times New Roman" w:cs="Times New Roman"/>
          <w:sz w:val="28"/>
          <w:szCs w:val="28"/>
          <w:lang w:eastAsia="ru-RU"/>
        </w:rPr>
        <w:t>, но и непосредственно от предпринимателей. Все отмечают, что такой сервис регистрации бизнеса «под ключ» очень удобен: буквально в одном окне, причем электронном окне, можно открыть счет в банке, получить электронную подпись и подать документы на регистрацию».</w:t>
      </w:r>
    </w:p>
    <w:p w:rsidR="00E17DEC" w:rsidRPr="00B02D18" w:rsidRDefault="00E17DEC" w:rsidP="00C33C92">
      <w:pPr>
        <w:spacing w:after="0" w:line="240" w:lineRule="auto"/>
        <w:jc w:val="both"/>
        <w:rPr>
          <w:rFonts w:ascii="Times New Roman" w:hAnsi="Times New Roman" w:cs="Times New Roman"/>
          <w:sz w:val="28"/>
          <w:szCs w:val="28"/>
        </w:rPr>
      </w:pPr>
    </w:p>
    <w:p w:rsidR="00E17DEC" w:rsidRPr="00B02D18" w:rsidRDefault="00E17DEC" w:rsidP="00C33C92">
      <w:pPr>
        <w:spacing w:after="0" w:line="240" w:lineRule="auto"/>
        <w:jc w:val="both"/>
        <w:rPr>
          <w:rFonts w:ascii="Times New Roman" w:hAnsi="Times New Roman" w:cs="Times New Roman"/>
          <w:sz w:val="28"/>
          <w:szCs w:val="28"/>
        </w:rPr>
      </w:pPr>
    </w:p>
    <w:p w:rsidR="00E17DEC" w:rsidRPr="00B02D18" w:rsidRDefault="00E17DEC" w:rsidP="00C33C92">
      <w:pPr>
        <w:spacing w:after="0" w:line="240" w:lineRule="auto"/>
        <w:jc w:val="both"/>
        <w:rPr>
          <w:rFonts w:ascii="Times New Roman" w:hAnsi="Times New Roman" w:cs="Times New Roman"/>
          <w:sz w:val="28"/>
          <w:szCs w:val="28"/>
        </w:rPr>
      </w:pPr>
    </w:p>
    <w:p w:rsidR="00E17DEC" w:rsidRPr="00B02D18" w:rsidRDefault="00E17DEC" w:rsidP="00C33C92">
      <w:pPr>
        <w:spacing w:after="0" w:line="240" w:lineRule="auto"/>
        <w:jc w:val="both"/>
        <w:rPr>
          <w:rFonts w:ascii="Times New Roman" w:hAnsi="Times New Roman" w:cs="Times New Roman"/>
          <w:sz w:val="28"/>
          <w:szCs w:val="28"/>
        </w:rPr>
      </w:pPr>
    </w:p>
    <w:p w:rsidR="00E17DEC" w:rsidRPr="00C33C92" w:rsidRDefault="00E17DEC" w:rsidP="00C33C92">
      <w:pPr>
        <w:pStyle w:val="1"/>
        <w:shd w:val="clear" w:color="auto" w:fill="FFFFFF"/>
        <w:spacing w:before="0" w:beforeAutospacing="0" w:after="0" w:afterAutospacing="0"/>
        <w:jc w:val="both"/>
        <w:textAlignment w:val="baseline"/>
        <w:rPr>
          <w:bCs w:val="0"/>
          <w:spacing w:val="-15"/>
          <w:sz w:val="28"/>
          <w:szCs w:val="28"/>
        </w:rPr>
      </w:pPr>
      <w:r w:rsidRPr="00C33C92">
        <w:rPr>
          <w:bCs w:val="0"/>
          <w:spacing w:val="-15"/>
          <w:sz w:val="28"/>
          <w:szCs w:val="28"/>
        </w:rPr>
        <w:t>Опубликованы данные для расчёта НДПИ, НДД и акциза на нефтяное сырье за сентябрь 2024 года</w:t>
      </w:r>
    </w:p>
    <w:p w:rsidR="00E17DEC" w:rsidRPr="00C33C92" w:rsidRDefault="00E17DEC" w:rsidP="00C33C92">
      <w:pPr>
        <w:pStyle w:val="a3"/>
        <w:shd w:val="clear" w:color="auto" w:fill="FFFFFF"/>
        <w:spacing w:before="0" w:beforeAutospacing="0" w:after="0" w:afterAutospacing="0"/>
        <w:jc w:val="both"/>
        <w:textAlignment w:val="baseline"/>
        <w:rPr>
          <w:sz w:val="28"/>
          <w:szCs w:val="28"/>
        </w:rPr>
      </w:pPr>
      <w:r w:rsidRPr="00C33C92">
        <w:rPr>
          <w:sz w:val="28"/>
          <w:szCs w:val="28"/>
        </w:rPr>
        <w:t>Опубликованы данные для расчета налога на добычу полезных ископаемых для нефти и газового конденсата, налога на дополнительный доход от добычи углеводородного сырья, а также акциза на нефтяное сырье за сентябрь 2024 года.</w:t>
      </w:r>
    </w:p>
    <w:p w:rsidR="00E17DEC" w:rsidRPr="00C33C92" w:rsidRDefault="00E17DEC" w:rsidP="00C33C92">
      <w:pPr>
        <w:pStyle w:val="a3"/>
        <w:shd w:val="clear" w:color="auto" w:fill="FFFFFF"/>
        <w:spacing w:before="0" w:beforeAutospacing="0" w:after="0" w:afterAutospacing="0"/>
        <w:jc w:val="both"/>
        <w:textAlignment w:val="baseline"/>
        <w:rPr>
          <w:sz w:val="28"/>
          <w:szCs w:val="28"/>
        </w:rPr>
      </w:pPr>
      <w:r w:rsidRPr="00C33C92">
        <w:rPr>
          <w:sz w:val="28"/>
          <w:szCs w:val="28"/>
        </w:rPr>
        <w:t>Так, </w:t>
      </w:r>
      <w:hyperlink r:id="rId15" w:tgtFrame="_blank" w:history="1">
        <w:r w:rsidRPr="00C33C92">
          <w:rPr>
            <w:rStyle w:val="a4"/>
            <w:color w:val="auto"/>
            <w:sz w:val="28"/>
            <w:szCs w:val="28"/>
            <w:bdr w:val="none" w:sz="0" w:space="0" w:color="auto" w:frame="1"/>
          </w:rPr>
          <w:t>средний уровень цен</w:t>
        </w:r>
      </w:hyperlink>
      <w:r w:rsidRPr="00C33C92">
        <w:rPr>
          <w:sz w:val="28"/>
          <w:szCs w:val="28"/>
        </w:rPr>
        <w:t> нефти сорта «Юралс» – 63,57 долл. США за баррель.</w:t>
      </w:r>
    </w:p>
    <w:p w:rsidR="00E17DEC" w:rsidRPr="00C33C92" w:rsidRDefault="00E17DEC" w:rsidP="00C33C92">
      <w:pPr>
        <w:pStyle w:val="a3"/>
        <w:shd w:val="clear" w:color="auto" w:fill="FFFFFF"/>
        <w:spacing w:before="0" w:beforeAutospacing="0" w:after="0" w:afterAutospacing="0"/>
        <w:jc w:val="both"/>
        <w:textAlignment w:val="baseline"/>
        <w:rPr>
          <w:sz w:val="28"/>
          <w:szCs w:val="28"/>
        </w:rPr>
      </w:pPr>
      <w:r w:rsidRPr="00C33C92">
        <w:rPr>
          <w:sz w:val="28"/>
          <w:szCs w:val="28"/>
        </w:rPr>
        <w:lastRenderedPageBreak/>
        <w:t xml:space="preserve">Среднее значение курса доллара США к рублю Российской Федерации, устанавливаемое Центральным банком РФ, за все дни налогового периода – 91,3058. Значение коэффициента </w:t>
      </w:r>
      <w:proofErr w:type="spellStart"/>
      <w:r w:rsidRPr="00C33C92">
        <w:rPr>
          <w:sz w:val="28"/>
          <w:szCs w:val="28"/>
        </w:rPr>
        <w:t>Кц</w:t>
      </w:r>
      <w:proofErr w:type="spellEnd"/>
      <w:r w:rsidRPr="00C33C92">
        <w:rPr>
          <w:sz w:val="28"/>
          <w:szCs w:val="28"/>
        </w:rPr>
        <w:t xml:space="preserve"> – 16,9913.</w:t>
      </w:r>
    </w:p>
    <w:p w:rsidR="00E17DEC" w:rsidRPr="00C33C92" w:rsidRDefault="00E17DEC" w:rsidP="00C33C92">
      <w:pPr>
        <w:pStyle w:val="a3"/>
        <w:shd w:val="clear" w:color="auto" w:fill="FFFFFF"/>
        <w:spacing w:before="0" w:beforeAutospacing="0" w:after="0" w:afterAutospacing="0"/>
        <w:jc w:val="both"/>
        <w:textAlignment w:val="baseline"/>
        <w:rPr>
          <w:sz w:val="28"/>
          <w:szCs w:val="28"/>
        </w:rPr>
      </w:pPr>
      <w:r w:rsidRPr="00C33C92">
        <w:rPr>
          <w:sz w:val="28"/>
          <w:szCs w:val="28"/>
        </w:rPr>
        <w:t xml:space="preserve">Показатели </w:t>
      </w:r>
      <w:proofErr w:type="spellStart"/>
      <w:r w:rsidRPr="00C33C92">
        <w:rPr>
          <w:sz w:val="28"/>
          <w:szCs w:val="28"/>
        </w:rPr>
        <w:t>ЦАБрт</w:t>
      </w:r>
      <w:proofErr w:type="spellEnd"/>
      <w:r w:rsidRPr="00C33C92">
        <w:rPr>
          <w:sz w:val="28"/>
          <w:szCs w:val="28"/>
        </w:rPr>
        <w:t xml:space="preserve">, </w:t>
      </w:r>
      <w:proofErr w:type="spellStart"/>
      <w:r w:rsidRPr="00C33C92">
        <w:rPr>
          <w:sz w:val="28"/>
          <w:szCs w:val="28"/>
        </w:rPr>
        <w:t>ЦДТрт</w:t>
      </w:r>
      <w:proofErr w:type="spellEnd"/>
      <w:r w:rsidRPr="00C33C92">
        <w:rPr>
          <w:sz w:val="28"/>
          <w:szCs w:val="28"/>
        </w:rPr>
        <w:t xml:space="preserve">, </w:t>
      </w:r>
      <w:proofErr w:type="spellStart"/>
      <w:r w:rsidRPr="00C33C92">
        <w:rPr>
          <w:sz w:val="28"/>
          <w:szCs w:val="28"/>
        </w:rPr>
        <w:t>ТАБм</w:t>
      </w:r>
      <w:proofErr w:type="spellEnd"/>
      <w:r w:rsidRPr="00C33C92">
        <w:rPr>
          <w:sz w:val="28"/>
          <w:szCs w:val="28"/>
        </w:rPr>
        <w:t xml:space="preserve">, </w:t>
      </w:r>
      <w:proofErr w:type="spellStart"/>
      <w:r w:rsidRPr="00C33C92">
        <w:rPr>
          <w:sz w:val="28"/>
          <w:szCs w:val="28"/>
        </w:rPr>
        <w:t>ТДТм</w:t>
      </w:r>
      <w:proofErr w:type="spellEnd"/>
      <w:r w:rsidRPr="00C33C92">
        <w:rPr>
          <w:sz w:val="28"/>
          <w:szCs w:val="28"/>
        </w:rPr>
        <w:t xml:space="preserve">, </w:t>
      </w:r>
      <w:proofErr w:type="spellStart"/>
      <w:r w:rsidRPr="00C33C92">
        <w:rPr>
          <w:sz w:val="28"/>
          <w:szCs w:val="28"/>
        </w:rPr>
        <w:t>ЦАБэксп</w:t>
      </w:r>
      <w:proofErr w:type="spellEnd"/>
      <w:r w:rsidRPr="00C33C92">
        <w:rPr>
          <w:sz w:val="28"/>
          <w:szCs w:val="28"/>
        </w:rPr>
        <w:t xml:space="preserve"> и </w:t>
      </w:r>
      <w:proofErr w:type="spellStart"/>
      <w:r w:rsidRPr="00C33C92">
        <w:rPr>
          <w:sz w:val="28"/>
          <w:szCs w:val="28"/>
        </w:rPr>
        <w:t>ЦДТэксп</w:t>
      </w:r>
      <w:proofErr w:type="spellEnd"/>
      <w:r w:rsidRPr="00C33C92">
        <w:rPr>
          <w:sz w:val="28"/>
          <w:szCs w:val="28"/>
        </w:rPr>
        <w:t> </w:t>
      </w:r>
      <w:hyperlink r:id="rId16" w:tgtFrame="_blank" w:history="1">
        <w:r w:rsidRPr="00C33C92">
          <w:rPr>
            <w:rStyle w:val="a4"/>
            <w:color w:val="auto"/>
            <w:sz w:val="28"/>
            <w:szCs w:val="28"/>
            <w:bdr w:val="none" w:sz="0" w:space="0" w:color="auto" w:frame="1"/>
          </w:rPr>
          <w:t>публикуются</w:t>
        </w:r>
      </w:hyperlink>
      <w:r w:rsidRPr="00C33C92">
        <w:rPr>
          <w:sz w:val="28"/>
          <w:szCs w:val="28"/>
        </w:rPr>
        <w:t> на официальном сайте Федеральной антимонопольной службы.</w:t>
      </w:r>
    </w:p>
    <w:p w:rsidR="00E17DEC" w:rsidRPr="00C33C92" w:rsidRDefault="00E17DEC" w:rsidP="00C33C92">
      <w:pPr>
        <w:pStyle w:val="a3"/>
        <w:shd w:val="clear" w:color="auto" w:fill="FFFFFF"/>
        <w:spacing w:before="0" w:beforeAutospacing="0" w:after="0" w:afterAutospacing="0"/>
        <w:jc w:val="both"/>
        <w:textAlignment w:val="baseline"/>
        <w:rPr>
          <w:sz w:val="28"/>
          <w:szCs w:val="28"/>
        </w:rPr>
      </w:pPr>
      <w:r w:rsidRPr="00C33C92">
        <w:rPr>
          <w:sz w:val="28"/>
          <w:szCs w:val="28"/>
        </w:rPr>
        <w:t>Средняя цена одной тонны сырой нефти марки «Юралс» на мировых рынках нефтяного сырья и ставки вывозных таможенных пошлин на нефть и отдельные категории товаров, выработанные из нее, </w:t>
      </w:r>
      <w:hyperlink r:id="rId17" w:tgtFrame="_blank" w:history="1">
        <w:r w:rsidRPr="00C33C92">
          <w:rPr>
            <w:rStyle w:val="a4"/>
            <w:color w:val="auto"/>
            <w:sz w:val="28"/>
            <w:szCs w:val="28"/>
            <w:bdr w:val="none" w:sz="0" w:space="0" w:color="auto" w:frame="1"/>
          </w:rPr>
          <w:t>размещаются</w:t>
        </w:r>
      </w:hyperlink>
      <w:r w:rsidRPr="00C33C92">
        <w:rPr>
          <w:sz w:val="28"/>
          <w:szCs w:val="28"/>
        </w:rPr>
        <w:t> на официальном сайте Министерства экономического развития РФ.</w:t>
      </w:r>
    </w:p>
    <w:p w:rsidR="00E17DEC" w:rsidRPr="00C33C92" w:rsidRDefault="00E17DEC" w:rsidP="00C33C92">
      <w:pPr>
        <w:spacing w:after="0" w:line="240" w:lineRule="auto"/>
        <w:jc w:val="both"/>
        <w:rPr>
          <w:rFonts w:ascii="Times New Roman" w:hAnsi="Times New Roman" w:cs="Times New Roman"/>
          <w:sz w:val="28"/>
          <w:szCs w:val="28"/>
        </w:rPr>
      </w:pPr>
    </w:p>
    <w:p w:rsidR="00E17DEC" w:rsidRPr="00C33C92" w:rsidRDefault="00E17DEC" w:rsidP="00C33C92">
      <w:pPr>
        <w:spacing w:after="0" w:line="240" w:lineRule="auto"/>
        <w:jc w:val="both"/>
        <w:rPr>
          <w:rFonts w:ascii="Times New Roman" w:hAnsi="Times New Roman" w:cs="Times New Roman"/>
          <w:sz w:val="28"/>
          <w:szCs w:val="28"/>
        </w:rPr>
      </w:pPr>
    </w:p>
    <w:p w:rsidR="00E17DEC" w:rsidRPr="00C33C92" w:rsidRDefault="00E17DEC" w:rsidP="00C33C92">
      <w:pPr>
        <w:spacing w:after="0" w:line="240" w:lineRule="auto"/>
        <w:jc w:val="both"/>
        <w:rPr>
          <w:rFonts w:ascii="Times New Roman" w:hAnsi="Times New Roman" w:cs="Times New Roman"/>
          <w:sz w:val="28"/>
          <w:szCs w:val="28"/>
        </w:rPr>
      </w:pPr>
    </w:p>
    <w:p w:rsidR="00E17DEC" w:rsidRPr="00C33C92" w:rsidRDefault="00E17DEC" w:rsidP="00C33C92">
      <w:pPr>
        <w:pStyle w:val="1"/>
        <w:shd w:val="clear" w:color="auto" w:fill="FFFFFF"/>
        <w:spacing w:before="0" w:beforeAutospacing="0" w:after="0" w:afterAutospacing="0"/>
        <w:jc w:val="both"/>
        <w:textAlignment w:val="baseline"/>
        <w:rPr>
          <w:bCs w:val="0"/>
          <w:spacing w:val="-15"/>
          <w:sz w:val="28"/>
          <w:szCs w:val="28"/>
        </w:rPr>
      </w:pPr>
      <w:r w:rsidRPr="00C33C92">
        <w:rPr>
          <w:bCs w:val="0"/>
          <w:spacing w:val="-15"/>
          <w:sz w:val="28"/>
          <w:szCs w:val="28"/>
        </w:rPr>
        <w:t>Налоговое уведомление и как его исполнить</w:t>
      </w:r>
    </w:p>
    <w:p w:rsidR="00E17DEC" w:rsidRPr="00C33C92" w:rsidRDefault="00E17DEC" w:rsidP="00C33C92">
      <w:pPr>
        <w:pStyle w:val="a3"/>
        <w:shd w:val="clear" w:color="auto" w:fill="FFFFFF"/>
        <w:spacing w:before="0" w:beforeAutospacing="0" w:after="0" w:afterAutospacing="0"/>
        <w:jc w:val="both"/>
        <w:textAlignment w:val="baseline"/>
        <w:rPr>
          <w:sz w:val="28"/>
          <w:szCs w:val="28"/>
        </w:rPr>
      </w:pPr>
      <w:r w:rsidRPr="00C33C92">
        <w:rPr>
          <w:sz w:val="28"/>
          <w:szCs w:val="28"/>
        </w:rPr>
        <w:t>Обязанность по ежегодному исчислению налогов, подлежащих уплате физическими лицами в отношении объектов недвижимого имущества, транспортных средств, возложена на налоговые органы (пункт 2 </w:t>
      </w:r>
      <w:hyperlink r:id="rId18" w:tgtFrame="_blank" w:history="1">
        <w:r w:rsidRPr="00C33C92">
          <w:rPr>
            <w:rStyle w:val="a4"/>
            <w:color w:val="auto"/>
            <w:sz w:val="28"/>
            <w:szCs w:val="28"/>
            <w:bdr w:val="none" w:sz="0" w:space="0" w:color="auto" w:frame="1"/>
          </w:rPr>
          <w:t>статьи 52</w:t>
        </w:r>
      </w:hyperlink>
      <w:r w:rsidRPr="00C33C92">
        <w:rPr>
          <w:sz w:val="28"/>
          <w:szCs w:val="28"/>
        </w:rPr>
        <w:t> Налогового кодекса Российской Федерации).</w:t>
      </w:r>
    </w:p>
    <w:p w:rsidR="00E17DEC" w:rsidRPr="00C33C92" w:rsidRDefault="00E17DEC" w:rsidP="00C33C92">
      <w:pPr>
        <w:pStyle w:val="a3"/>
        <w:shd w:val="clear" w:color="auto" w:fill="FFFFFF"/>
        <w:spacing w:before="0" w:beforeAutospacing="0" w:after="0" w:afterAutospacing="0"/>
        <w:jc w:val="both"/>
        <w:textAlignment w:val="baseline"/>
        <w:rPr>
          <w:sz w:val="28"/>
          <w:szCs w:val="28"/>
        </w:rPr>
      </w:pPr>
      <w:r w:rsidRPr="00C33C92">
        <w:rPr>
          <w:sz w:val="28"/>
          <w:szCs w:val="28"/>
        </w:rPr>
        <w:t>В связи с этим, не позднее 30 дней до наступления срока уплаты транспортного налога, земельного налога, налога на имущество физических лиц налоговые органы направляют налогоплательщикам налоговые уведомление для уплаты.</w:t>
      </w:r>
    </w:p>
    <w:p w:rsidR="00E17DEC" w:rsidRPr="00C33C92" w:rsidRDefault="00E17DEC" w:rsidP="00C33C92">
      <w:pPr>
        <w:pStyle w:val="a3"/>
        <w:shd w:val="clear" w:color="auto" w:fill="FFFFFF"/>
        <w:spacing w:before="0" w:beforeAutospacing="0" w:after="0" w:afterAutospacing="0"/>
        <w:jc w:val="both"/>
        <w:textAlignment w:val="baseline"/>
        <w:rPr>
          <w:sz w:val="28"/>
          <w:szCs w:val="28"/>
        </w:rPr>
      </w:pPr>
      <w:r w:rsidRPr="00C33C92">
        <w:rPr>
          <w:sz w:val="28"/>
          <w:szCs w:val="28"/>
        </w:rPr>
        <w:t>Форма налогового уведомления утверждена приказом ФНС России от 27.09.2022 </w:t>
      </w:r>
      <w:hyperlink r:id="rId19" w:tgtFrame="_blank" w:history="1">
        <w:r w:rsidRPr="00C33C92">
          <w:rPr>
            <w:rStyle w:val="a4"/>
            <w:color w:val="auto"/>
            <w:sz w:val="28"/>
            <w:szCs w:val="28"/>
            <w:bdr w:val="none" w:sz="0" w:space="0" w:color="auto" w:frame="1"/>
          </w:rPr>
          <w:t>№ ЕД-7-21/866@</w:t>
        </w:r>
      </w:hyperlink>
      <w:r w:rsidRPr="00C33C92">
        <w:rPr>
          <w:sz w:val="28"/>
          <w:szCs w:val="28"/>
        </w:rPr>
        <w:t> и включает сумму налога, подлежащую уплате, сведения об объекте налогообложения, налоговой базе, сроке уплаты налога, а также сведения, необходимые для перечисления налога в качестве единого налогового платежа в бюджетную систему Российской Федерации (QR-код, штрих-код, УИН, банковские реквизиты платежа).</w:t>
      </w:r>
    </w:p>
    <w:p w:rsidR="00E17DEC" w:rsidRPr="00C33C92" w:rsidRDefault="00E17DEC" w:rsidP="00C33C92">
      <w:pPr>
        <w:pStyle w:val="a3"/>
        <w:shd w:val="clear" w:color="auto" w:fill="FFFFFF"/>
        <w:spacing w:before="0" w:beforeAutospacing="0" w:after="0" w:afterAutospacing="0"/>
        <w:jc w:val="both"/>
        <w:textAlignment w:val="baseline"/>
        <w:rPr>
          <w:sz w:val="28"/>
          <w:szCs w:val="28"/>
        </w:rPr>
      </w:pPr>
      <w:r w:rsidRPr="00C33C92">
        <w:rPr>
          <w:sz w:val="28"/>
          <w:szCs w:val="28"/>
        </w:rPr>
        <w:t>Налоговое уведомление может быть направлено налогоплательщику:</w:t>
      </w:r>
    </w:p>
    <w:p w:rsidR="00E17DEC" w:rsidRPr="00C33C92" w:rsidRDefault="00E17DEC" w:rsidP="00C33C92">
      <w:pPr>
        <w:numPr>
          <w:ilvl w:val="0"/>
          <w:numId w:val="1"/>
        </w:numPr>
        <w:shd w:val="clear" w:color="auto" w:fill="FFFFFF"/>
        <w:spacing w:after="0" w:line="240" w:lineRule="auto"/>
        <w:ind w:left="450"/>
        <w:jc w:val="both"/>
        <w:textAlignment w:val="baseline"/>
        <w:rPr>
          <w:rFonts w:ascii="Times New Roman" w:hAnsi="Times New Roman" w:cs="Times New Roman"/>
          <w:sz w:val="28"/>
          <w:szCs w:val="28"/>
        </w:rPr>
      </w:pPr>
      <w:r w:rsidRPr="00C33C92">
        <w:rPr>
          <w:rFonts w:ascii="Times New Roman" w:hAnsi="Times New Roman" w:cs="Times New Roman"/>
          <w:sz w:val="28"/>
          <w:szCs w:val="28"/>
        </w:rPr>
        <w:t xml:space="preserve">по почте заказным письмом и считается полученным по истечении шести дней </w:t>
      </w:r>
      <w:proofErr w:type="gramStart"/>
      <w:r w:rsidRPr="00C33C92">
        <w:rPr>
          <w:rFonts w:ascii="Times New Roman" w:hAnsi="Times New Roman" w:cs="Times New Roman"/>
          <w:sz w:val="28"/>
          <w:szCs w:val="28"/>
        </w:rPr>
        <w:t>с даты направления</w:t>
      </w:r>
      <w:proofErr w:type="gramEnd"/>
      <w:r w:rsidRPr="00C33C92">
        <w:rPr>
          <w:rFonts w:ascii="Times New Roman" w:hAnsi="Times New Roman" w:cs="Times New Roman"/>
          <w:sz w:val="28"/>
          <w:szCs w:val="28"/>
        </w:rPr>
        <w:t xml:space="preserve"> заказного письма;</w:t>
      </w:r>
    </w:p>
    <w:p w:rsidR="00E17DEC" w:rsidRPr="00C33C92" w:rsidRDefault="00E17DEC" w:rsidP="00C33C92">
      <w:pPr>
        <w:numPr>
          <w:ilvl w:val="0"/>
          <w:numId w:val="1"/>
        </w:numPr>
        <w:shd w:val="clear" w:color="auto" w:fill="FFFFFF"/>
        <w:spacing w:after="0" w:line="240" w:lineRule="auto"/>
        <w:ind w:left="450"/>
        <w:jc w:val="both"/>
        <w:textAlignment w:val="baseline"/>
        <w:rPr>
          <w:rFonts w:ascii="Times New Roman" w:hAnsi="Times New Roman" w:cs="Times New Roman"/>
          <w:sz w:val="28"/>
          <w:szCs w:val="28"/>
        </w:rPr>
      </w:pPr>
      <w:r w:rsidRPr="00C33C92">
        <w:rPr>
          <w:rFonts w:ascii="Times New Roman" w:hAnsi="Times New Roman" w:cs="Times New Roman"/>
          <w:sz w:val="28"/>
          <w:szCs w:val="28"/>
        </w:rPr>
        <w:t>передано в электронной форме через </w:t>
      </w:r>
      <w:hyperlink r:id="rId20" w:tgtFrame="_blank" w:history="1">
        <w:r w:rsidRPr="00C33C92">
          <w:rPr>
            <w:rStyle w:val="a4"/>
            <w:rFonts w:ascii="Times New Roman" w:hAnsi="Times New Roman" w:cs="Times New Roman"/>
            <w:color w:val="auto"/>
            <w:sz w:val="28"/>
            <w:szCs w:val="28"/>
            <w:bdr w:val="none" w:sz="0" w:space="0" w:color="auto" w:frame="1"/>
          </w:rPr>
          <w:t>личный кабинет налогоплательщика,</w:t>
        </w:r>
      </w:hyperlink>
      <w:r w:rsidRPr="00C33C92">
        <w:rPr>
          <w:rFonts w:ascii="Times New Roman" w:hAnsi="Times New Roman" w:cs="Times New Roman"/>
          <w:sz w:val="28"/>
          <w:szCs w:val="28"/>
        </w:rPr>
        <w:t> личный кабинет на </w:t>
      </w:r>
      <w:hyperlink r:id="rId21" w:tgtFrame="_blank" w:history="1">
        <w:r w:rsidRPr="00C33C92">
          <w:rPr>
            <w:rStyle w:val="a4"/>
            <w:rFonts w:ascii="Times New Roman" w:hAnsi="Times New Roman" w:cs="Times New Roman"/>
            <w:color w:val="auto"/>
            <w:sz w:val="28"/>
            <w:szCs w:val="28"/>
            <w:bdr w:val="none" w:sz="0" w:space="0" w:color="auto" w:frame="1"/>
          </w:rPr>
          <w:t>едином портале государственных и муниципальных услуг.</w:t>
        </w:r>
      </w:hyperlink>
    </w:p>
    <w:p w:rsidR="00E17DEC" w:rsidRPr="00C33C92" w:rsidRDefault="00E17DEC" w:rsidP="00C33C92">
      <w:pPr>
        <w:pStyle w:val="a3"/>
        <w:shd w:val="clear" w:color="auto" w:fill="FFFFFF"/>
        <w:spacing w:before="0" w:beforeAutospacing="0" w:after="0" w:afterAutospacing="0"/>
        <w:jc w:val="both"/>
        <w:textAlignment w:val="baseline"/>
        <w:rPr>
          <w:sz w:val="28"/>
          <w:szCs w:val="28"/>
        </w:rPr>
      </w:pPr>
      <w:r w:rsidRPr="00C33C92">
        <w:rPr>
          <w:sz w:val="28"/>
          <w:szCs w:val="28"/>
        </w:rPr>
        <w:t xml:space="preserve">В случае направления налогового уведомления по почте заказным письмом налоговое уведомление считается полученным по истечении шести дней </w:t>
      </w:r>
      <w:proofErr w:type="gramStart"/>
      <w:r w:rsidRPr="00C33C92">
        <w:rPr>
          <w:sz w:val="28"/>
          <w:szCs w:val="28"/>
        </w:rPr>
        <w:t>с даты направления</w:t>
      </w:r>
      <w:proofErr w:type="gramEnd"/>
      <w:r w:rsidRPr="00C33C92">
        <w:rPr>
          <w:sz w:val="28"/>
          <w:szCs w:val="28"/>
        </w:rPr>
        <w:t xml:space="preserve"> заказного письма.</w:t>
      </w:r>
    </w:p>
    <w:p w:rsidR="00E17DEC" w:rsidRPr="00C33C92" w:rsidRDefault="00E17DEC" w:rsidP="00C33C92">
      <w:pPr>
        <w:pStyle w:val="a3"/>
        <w:shd w:val="clear" w:color="auto" w:fill="FFFFFF"/>
        <w:spacing w:before="0" w:beforeAutospacing="0" w:after="0" w:afterAutospacing="0"/>
        <w:jc w:val="both"/>
        <w:textAlignment w:val="baseline"/>
        <w:rPr>
          <w:sz w:val="28"/>
          <w:szCs w:val="28"/>
        </w:rPr>
      </w:pPr>
      <w:r w:rsidRPr="00C33C92">
        <w:rPr>
          <w:sz w:val="28"/>
          <w:szCs w:val="28"/>
        </w:rPr>
        <w:t xml:space="preserve">Налогоплательщик (его законный или уполномоченный представитель) вправе получить налоговое уведомление лично под расписку в любом налоговом органе либо через многофункциональный центр предоставления государственных и муниципальных услуг на основании заявления о выдаче налогового уведомления. Налоговое уведомление передается налогоплательщику (его законному или уполномоченному представителю либо через МФЦ) в срок не позднее пяти дней со дня получения налоговым </w:t>
      </w:r>
      <w:r w:rsidRPr="00C33C92">
        <w:rPr>
          <w:sz w:val="28"/>
          <w:szCs w:val="28"/>
        </w:rPr>
        <w:lastRenderedPageBreak/>
        <w:t>органом заявления о выдаче налогового уведомления (форма заявления утверждена приказом ФНС России от 20.10.2022 № </w:t>
      </w:r>
      <w:hyperlink r:id="rId22" w:tgtFrame="_blank" w:history="1">
        <w:r w:rsidRPr="00C33C92">
          <w:rPr>
            <w:rStyle w:val="a4"/>
            <w:color w:val="auto"/>
            <w:sz w:val="28"/>
            <w:szCs w:val="28"/>
            <w:bdr w:val="none" w:sz="0" w:space="0" w:color="auto" w:frame="1"/>
          </w:rPr>
          <w:t>ЕД-7-21/947@</w:t>
        </w:r>
      </w:hyperlink>
      <w:r w:rsidRPr="00C33C92">
        <w:rPr>
          <w:sz w:val="28"/>
          <w:szCs w:val="28"/>
        </w:rPr>
        <w:t>).</w:t>
      </w:r>
    </w:p>
    <w:p w:rsidR="00E17DEC" w:rsidRPr="00C33C92" w:rsidRDefault="00E17DEC" w:rsidP="00C33C92">
      <w:pPr>
        <w:pStyle w:val="a3"/>
        <w:shd w:val="clear" w:color="auto" w:fill="FFFFFF"/>
        <w:spacing w:before="0" w:beforeAutospacing="0" w:after="0" w:afterAutospacing="0"/>
        <w:jc w:val="both"/>
        <w:textAlignment w:val="baseline"/>
        <w:rPr>
          <w:sz w:val="28"/>
          <w:szCs w:val="28"/>
        </w:rPr>
      </w:pPr>
      <w:r w:rsidRPr="00C33C92">
        <w:rPr>
          <w:sz w:val="28"/>
          <w:szCs w:val="28"/>
        </w:rPr>
        <w:t>Налоговое уведомление за налоговый период 2023 года должно быть исполнено не позднее 02.12.2024.</w:t>
      </w:r>
    </w:p>
    <w:p w:rsidR="00E17DEC" w:rsidRPr="00C33C92" w:rsidRDefault="00E17DEC" w:rsidP="00C33C92">
      <w:pPr>
        <w:spacing w:after="0" w:line="240" w:lineRule="auto"/>
        <w:jc w:val="both"/>
        <w:rPr>
          <w:rFonts w:ascii="Times New Roman" w:hAnsi="Times New Roman" w:cs="Times New Roman"/>
          <w:sz w:val="28"/>
          <w:szCs w:val="28"/>
        </w:rPr>
      </w:pPr>
    </w:p>
    <w:p w:rsidR="00E17DEC" w:rsidRPr="00C33C92" w:rsidRDefault="00E17DEC" w:rsidP="00C33C92">
      <w:pPr>
        <w:spacing w:after="0" w:line="240" w:lineRule="auto"/>
        <w:jc w:val="both"/>
        <w:rPr>
          <w:rFonts w:ascii="Times New Roman" w:hAnsi="Times New Roman" w:cs="Times New Roman"/>
          <w:sz w:val="28"/>
          <w:szCs w:val="28"/>
        </w:rPr>
      </w:pPr>
    </w:p>
    <w:p w:rsidR="00E17DEC" w:rsidRPr="00C33C92" w:rsidRDefault="00E17DEC" w:rsidP="00C33C92">
      <w:pPr>
        <w:spacing w:after="0" w:line="240" w:lineRule="auto"/>
        <w:jc w:val="both"/>
        <w:rPr>
          <w:rFonts w:ascii="Times New Roman" w:hAnsi="Times New Roman" w:cs="Times New Roman"/>
          <w:sz w:val="28"/>
          <w:szCs w:val="28"/>
        </w:rPr>
      </w:pPr>
    </w:p>
    <w:p w:rsidR="00E17DEC" w:rsidRPr="00C33C92" w:rsidRDefault="00E17DEC" w:rsidP="00C33C92">
      <w:pPr>
        <w:spacing w:after="0" w:line="240" w:lineRule="auto"/>
        <w:jc w:val="both"/>
        <w:rPr>
          <w:rFonts w:ascii="Times New Roman" w:hAnsi="Times New Roman" w:cs="Times New Roman"/>
          <w:sz w:val="28"/>
          <w:szCs w:val="28"/>
        </w:rPr>
      </w:pPr>
    </w:p>
    <w:p w:rsidR="00E17DEC" w:rsidRPr="00C33C92" w:rsidRDefault="00E17DEC" w:rsidP="00C33C92">
      <w:pPr>
        <w:spacing w:after="0" w:line="240" w:lineRule="auto"/>
        <w:jc w:val="both"/>
        <w:rPr>
          <w:rFonts w:ascii="Times New Roman" w:hAnsi="Times New Roman" w:cs="Times New Roman"/>
          <w:sz w:val="28"/>
          <w:szCs w:val="28"/>
        </w:rPr>
      </w:pPr>
    </w:p>
    <w:p w:rsidR="00E17DEC" w:rsidRPr="00C33C92" w:rsidRDefault="00E17DEC" w:rsidP="00C33C92">
      <w:pPr>
        <w:pStyle w:val="1"/>
        <w:shd w:val="clear" w:color="auto" w:fill="FFFFFF"/>
        <w:spacing w:before="0" w:beforeAutospacing="0" w:after="0" w:afterAutospacing="0"/>
        <w:jc w:val="both"/>
        <w:textAlignment w:val="baseline"/>
        <w:rPr>
          <w:bCs w:val="0"/>
          <w:spacing w:val="-15"/>
          <w:sz w:val="28"/>
          <w:szCs w:val="28"/>
        </w:rPr>
      </w:pPr>
      <w:r w:rsidRPr="00C33C92">
        <w:rPr>
          <w:bCs w:val="0"/>
          <w:spacing w:val="-15"/>
          <w:sz w:val="28"/>
          <w:szCs w:val="28"/>
        </w:rPr>
        <w:t>ФНС разъяснила, как рассчитывается НДФЛ с процентных доходов по депозитам в налоговых уведомлениях</w:t>
      </w:r>
    </w:p>
    <w:p w:rsidR="00E17DEC" w:rsidRPr="00C33C92" w:rsidRDefault="00E17DEC" w:rsidP="00C33C92">
      <w:pPr>
        <w:pStyle w:val="a3"/>
        <w:shd w:val="clear" w:color="auto" w:fill="FFFFFF"/>
        <w:spacing w:before="0" w:beforeAutospacing="0" w:after="0" w:afterAutospacing="0"/>
        <w:jc w:val="both"/>
        <w:textAlignment w:val="baseline"/>
        <w:rPr>
          <w:sz w:val="28"/>
          <w:szCs w:val="28"/>
        </w:rPr>
      </w:pPr>
      <w:r w:rsidRPr="00C33C92">
        <w:rPr>
          <w:sz w:val="28"/>
          <w:szCs w:val="28"/>
        </w:rPr>
        <w:t>В этом году граждане впервые получили в налоговом уведомлении расчет НДФЛ с доходов, полученных в виде процентов по вкладам (остаткам на счетах) в российских банках. Налог в его действующей редакции введен еще в 2021 году, но в рамках </w:t>
      </w:r>
      <w:hyperlink r:id="rId23" w:tgtFrame="_blank" w:history="1">
        <w:r w:rsidRPr="00C33C92">
          <w:rPr>
            <w:rStyle w:val="a4"/>
            <w:color w:val="auto"/>
            <w:sz w:val="28"/>
            <w:szCs w:val="28"/>
            <w:bdr w:val="none" w:sz="0" w:space="0" w:color="auto" w:frame="1"/>
          </w:rPr>
          <w:t>поддержки граждан</w:t>
        </w:r>
      </w:hyperlink>
      <w:r w:rsidRPr="00C33C92">
        <w:rPr>
          <w:sz w:val="28"/>
          <w:szCs w:val="28"/>
        </w:rPr>
        <w:t> был введен временный мораторий, и доходы в виде процентов по банковским вкладам (остаткам на счетах), полученные в 2021 и 2022 годах, не облагались НДФЛ. Процентные доходы, полученные в 2023 году, уже подлежат налогообложению.</w:t>
      </w:r>
    </w:p>
    <w:p w:rsidR="00E17DEC" w:rsidRPr="00C33C92" w:rsidRDefault="00E17DEC" w:rsidP="00C33C92">
      <w:pPr>
        <w:pStyle w:val="a3"/>
        <w:shd w:val="clear" w:color="auto" w:fill="FFFFFF"/>
        <w:spacing w:before="0" w:beforeAutospacing="0" w:after="0" w:afterAutospacing="0"/>
        <w:jc w:val="both"/>
        <w:textAlignment w:val="baseline"/>
        <w:rPr>
          <w:sz w:val="28"/>
          <w:szCs w:val="28"/>
        </w:rPr>
      </w:pPr>
      <w:r w:rsidRPr="00C33C92">
        <w:rPr>
          <w:sz w:val="28"/>
          <w:szCs w:val="28"/>
        </w:rPr>
        <w:t>Налогоплательщику не нужно ничего самостоятельно рассчитывать. Налоговые органы получают необходимую информацию от банков и </w:t>
      </w:r>
      <w:hyperlink r:id="rId24" w:tgtFrame="_blank" w:history="1">
        <w:r w:rsidRPr="00C33C92">
          <w:rPr>
            <w:rStyle w:val="a4"/>
            <w:color w:val="auto"/>
            <w:sz w:val="28"/>
            <w:szCs w:val="28"/>
            <w:bdr w:val="none" w:sz="0" w:space="0" w:color="auto" w:frame="1"/>
          </w:rPr>
          <w:t>Агентства по страхованию вкладов</w:t>
        </w:r>
      </w:hyperlink>
      <w:r w:rsidRPr="00C33C92">
        <w:rPr>
          <w:sz w:val="28"/>
          <w:szCs w:val="28"/>
        </w:rPr>
        <w:t>, после чего рассчитывают сумму налога.</w:t>
      </w:r>
    </w:p>
    <w:p w:rsidR="00E17DEC" w:rsidRPr="00C33C92" w:rsidRDefault="00E17DEC" w:rsidP="00C33C92">
      <w:pPr>
        <w:pStyle w:val="a3"/>
        <w:shd w:val="clear" w:color="auto" w:fill="FFFFFF"/>
        <w:spacing w:before="0" w:beforeAutospacing="0" w:after="0" w:afterAutospacing="0"/>
        <w:jc w:val="both"/>
        <w:textAlignment w:val="baseline"/>
        <w:rPr>
          <w:sz w:val="28"/>
          <w:szCs w:val="28"/>
        </w:rPr>
      </w:pPr>
      <w:r w:rsidRPr="00C33C92">
        <w:rPr>
          <w:sz w:val="28"/>
          <w:szCs w:val="28"/>
        </w:rPr>
        <w:t>Стоит отметить, что это касается не всех граждан с процентными доходами.</w:t>
      </w:r>
    </w:p>
    <w:p w:rsidR="00E17DEC" w:rsidRPr="00C33C92" w:rsidRDefault="00E17DEC" w:rsidP="00C33C92">
      <w:pPr>
        <w:pStyle w:val="a3"/>
        <w:shd w:val="clear" w:color="auto" w:fill="FFFFFF"/>
        <w:spacing w:before="0" w:beforeAutospacing="0" w:after="0" w:afterAutospacing="0"/>
        <w:jc w:val="both"/>
        <w:textAlignment w:val="baseline"/>
        <w:rPr>
          <w:sz w:val="28"/>
          <w:szCs w:val="28"/>
        </w:rPr>
      </w:pPr>
      <w:r w:rsidRPr="00C33C92">
        <w:rPr>
          <w:sz w:val="28"/>
          <w:szCs w:val="28"/>
        </w:rPr>
        <w:t xml:space="preserve">НДФЛ облагается общая годовая сумма процентного дохода за минусом необлагаемой суммы. Она рассчитывается по формуле: 1 </w:t>
      </w:r>
      <w:proofErr w:type="gramStart"/>
      <w:r w:rsidRPr="00C33C92">
        <w:rPr>
          <w:sz w:val="28"/>
          <w:szCs w:val="28"/>
        </w:rPr>
        <w:t>млн</w:t>
      </w:r>
      <w:proofErr w:type="gramEnd"/>
      <w:r w:rsidRPr="00C33C92">
        <w:rPr>
          <w:sz w:val="28"/>
          <w:szCs w:val="28"/>
        </w:rPr>
        <w:t xml:space="preserve"> рублей * максимальное значение ключевой ставки Банка России из действовавших на 1-е число каждого месяца в календарном году.</w:t>
      </w:r>
    </w:p>
    <w:p w:rsidR="00E17DEC" w:rsidRPr="00C33C92" w:rsidRDefault="00E17DEC" w:rsidP="00C33C92">
      <w:pPr>
        <w:pStyle w:val="a3"/>
        <w:shd w:val="clear" w:color="auto" w:fill="FFFFFF"/>
        <w:spacing w:before="0" w:beforeAutospacing="0" w:after="0" w:afterAutospacing="0"/>
        <w:jc w:val="both"/>
        <w:textAlignment w:val="baseline"/>
        <w:rPr>
          <w:sz w:val="28"/>
          <w:szCs w:val="28"/>
        </w:rPr>
      </w:pPr>
      <w:r w:rsidRPr="00C33C92">
        <w:rPr>
          <w:sz w:val="28"/>
          <w:szCs w:val="28"/>
        </w:rPr>
        <w:t>Учитывая, что за 2023 год максимальное значение такой ключевой ставки было определено по состоянию на 1 ноября в размере 15%, необлагаемый минимум за 2023 год составляет 150 </w:t>
      </w:r>
      <w:proofErr w:type="spellStart"/>
      <w:r w:rsidRPr="00C33C92">
        <w:rPr>
          <w:sz w:val="28"/>
          <w:szCs w:val="28"/>
        </w:rPr>
        <w:t>тыс</w:t>
      </w:r>
      <w:proofErr w:type="gramStart"/>
      <w:r w:rsidRPr="00C33C92">
        <w:rPr>
          <w:sz w:val="28"/>
          <w:szCs w:val="28"/>
        </w:rPr>
        <w:t>.р</w:t>
      </w:r>
      <w:proofErr w:type="gramEnd"/>
      <w:r w:rsidRPr="00C33C92">
        <w:rPr>
          <w:sz w:val="28"/>
          <w:szCs w:val="28"/>
        </w:rPr>
        <w:t>ублей</w:t>
      </w:r>
      <w:proofErr w:type="spellEnd"/>
      <w:r w:rsidRPr="00C33C92">
        <w:rPr>
          <w:sz w:val="28"/>
          <w:szCs w:val="28"/>
        </w:rPr>
        <w:t xml:space="preserve"> (1 млн рублей * 15%). Только полученный сверх этой суммы совокупный процентный доход подлежит налогообложению.</w:t>
      </w:r>
    </w:p>
    <w:p w:rsidR="00E17DEC" w:rsidRPr="00C33C92" w:rsidRDefault="00E17DEC" w:rsidP="00C33C92">
      <w:pPr>
        <w:pStyle w:val="a3"/>
        <w:shd w:val="clear" w:color="auto" w:fill="FFFFFF"/>
        <w:spacing w:before="0" w:beforeAutospacing="0" w:after="0" w:afterAutospacing="0"/>
        <w:jc w:val="both"/>
        <w:textAlignment w:val="baseline"/>
        <w:rPr>
          <w:sz w:val="28"/>
          <w:szCs w:val="28"/>
        </w:rPr>
      </w:pPr>
      <w:r w:rsidRPr="00C33C92">
        <w:rPr>
          <w:sz w:val="28"/>
          <w:szCs w:val="28"/>
        </w:rPr>
        <w:t xml:space="preserve">Например, в 2023 году гражданин по одному вкладу и одному накопительному счету получил доход 200 тыс. рублей. Таким образом, под налогообложение попадает сумма 50 тыс. рублей. НДФЛ по ставке 13% составит 6500 рублей. Если </w:t>
      </w:r>
      <w:proofErr w:type="spellStart"/>
      <w:r w:rsidRPr="00C33C92">
        <w:rPr>
          <w:sz w:val="28"/>
          <w:szCs w:val="28"/>
        </w:rPr>
        <w:t>cовокупный</w:t>
      </w:r>
      <w:proofErr w:type="spellEnd"/>
      <w:r w:rsidRPr="00C33C92">
        <w:rPr>
          <w:sz w:val="28"/>
          <w:szCs w:val="28"/>
        </w:rPr>
        <w:t xml:space="preserve"> годовой доход налогоплательщика превышает 5 </w:t>
      </w:r>
      <w:proofErr w:type="gramStart"/>
      <w:r w:rsidRPr="00C33C92">
        <w:rPr>
          <w:sz w:val="28"/>
          <w:szCs w:val="28"/>
        </w:rPr>
        <w:t>млн</w:t>
      </w:r>
      <w:proofErr w:type="gramEnd"/>
      <w:r w:rsidRPr="00C33C92">
        <w:rPr>
          <w:sz w:val="28"/>
          <w:szCs w:val="28"/>
        </w:rPr>
        <w:t xml:space="preserve"> рублей, то ставка по НДФЛ составит 15% (7500 рублей). А если доход по вкладам не превысил 150 тыс. рублей, то налога не возникает.</w:t>
      </w:r>
    </w:p>
    <w:p w:rsidR="00E17DEC" w:rsidRPr="00C33C92" w:rsidRDefault="00E17DEC" w:rsidP="00C33C92">
      <w:pPr>
        <w:pStyle w:val="a3"/>
        <w:shd w:val="clear" w:color="auto" w:fill="FFFFFF"/>
        <w:spacing w:before="0" w:beforeAutospacing="0" w:after="0" w:afterAutospacing="0"/>
        <w:jc w:val="both"/>
        <w:textAlignment w:val="baseline"/>
        <w:rPr>
          <w:sz w:val="28"/>
          <w:szCs w:val="28"/>
        </w:rPr>
      </w:pPr>
      <w:r w:rsidRPr="00C33C92">
        <w:rPr>
          <w:sz w:val="28"/>
          <w:szCs w:val="28"/>
        </w:rPr>
        <w:t>Заплатить такой налог необходимо не позднее 2 декабря 2024 года (т.к. 1 декабря – выходной день).</w:t>
      </w:r>
    </w:p>
    <w:p w:rsidR="00E17DEC" w:rsidRPr="00C33C92" w:rsidRDefault="00E17DEC" w:rsidP="00C33C92">
      <w:pPr>
        <w:spacing w:after="0" w:line="240" w:lineRule="auto"/>
        <w:jc w:val="both"/>
        <w:rPr>
          <w:rFonts w:ascii="Times New Roman" w:hAnsi="Times New Roman" w:cs="Times New Roman"/>
          <w:sz w:val="28"/>
          <w:szCs w:val="28"/>
        </w:rPr>
      </w:pPr>
    </w:p>
    <w:p w:rsidR="00D01E1B" w:rsidRPr="00905883" w:rsidRDefault="00D01E1B" w:rsidP="00D01E1B">
      <w:pPr>
        <w:pStyle w:val="a3"/>
        <w:shd w:val="clear" w:color="auto" w:fill="FFFFFF"/>
        <w:spacing w:before="0" w:beforeAutospacing="0" w:after="0" w:afterAutospacing="0"/>
        <w:jc w:val="right"/>
        <w:textAlignment w:val="baseline"/>
        <w:rPr>
          <w:sz w:val="16"/>
          <w:szCs w:val="16"/>
        </w:rPr>
      </w:pPr>
      <w:r w:rsidRPr="00905883">
        <w:rPr>
          <w:rStyle w:val="a6"/>
          <w:sz w:val="16"/>
          <w:szCs w:val="16"/>
        </w:rPr>
        <w:t xml:space="preserve">Пресс-служба ИФНС России </w:t>
      </w:r>
      <w:proofErr w:type="gramStart"/>
      <w:r w:rsidRPr="00905883">
        <w:rPr>
          <w:rStyle w:val="a6"/>
          <w:sz w:val="16"/>
          <w:szCs w:val="16"/>
        </w:rPr>
        <w:t>по</w:t>
      </w:r>
      <w:proofErr w:type="gramEnd"/>
    </w:p>
    <w:p w:rsidR="00D01E1B" w:rsidRPr="00905883" w:rsidRDefault="00D01E1B" w:rsidP="00D01E1B">
      <w:pPr>
        <w:pStyle w:val="a3"/>
        <w:spacing w:before="0" w:beforeAutospacing="0" w:after="0" w:afterAutospacing="0"/>
        <w:jc w:val="right"/>
        <w:rPr>
          <w:sz w:val="16"/>
          <w:szCs w:val="16"/>
        </w:rPr>
      </w:pPr>
      <w:r w:rsidRPr="00905883">
        <w:rPr>
          <w:rStyle w:val="a6"/>
          <w:sz w:val="16"/>
          <w:szCs w:val="16"/>
        </w:rPr>
        <w:t> г. Сургуту Ханты-Мансийского</w:t>
      </w:r>
    </w:p>
    <w:p w:rsidR="00D01E1B" w:rsidRPr="00905883" w:rsidRDefault="00D01E1B" w:rsidP="00D01E1B">
      <w:pPr>
        <w:pStyle w:val="a3"/>
        <w:spacing w:before="0" w:beforeAutospacing="0" w:after="0" w:afterAutospacing="0"/>
        <w:jc w:val="right"/>
        <w:rPr>
          <w:b/>
          <w:kern w:val="36"/>
          <w:sz w:val="28"/>
          <w:szCs w:val="28"/>
        </w:rPr>
      </w:pPr>
      <w:r w:rsidRPr="00905883">
        <w:rPr>
          <w:rStyle w:val="a6"/>
          <w:sz w:val="16"/>
          <w:szCs w:val="16"/>
        </w:rPr>
        <w:t> автономного округа – Югры</w:t>
      </w:r>
      <w:bookmarkStart w:id="0" w:name="_GoBack"/>
      <w:bookmarkEnd w:id="0"/>
    </w:p>
    <w:sectPr w:rsidR="00D01E1B" w:rsidRPr="0090588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5471DF"/>
    <w:multiLevelType w:val="multilevel"/>
    <w:tmpl w:val="6AACA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4F4C"/>
    <w:rsid w:val="00074F4C"/>
    <w:rsid w:val="00197A1A"/>
    <w:rsid w:val="008E6F77"/>
    <w:rsid w:val="00B02D18"/>
    <w:rsid w:val="00C33C92"/>
    <w:rsid w:val="00D01E1B"/>
    <w:rsid w:val="00DB091A"/>
    <w:rsid w:val="00E17D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E17DE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17DEC"/>
    <w:rPr>
      <w:rFonts w:ascii="Times New Roman" w:eastAsia="Times New Roman" w:hAnsi="Times New Roman" w:cs="Times New Roman"/>
      <w:b/>
      <w:bCs/>
      <w:kern w:val="36"/>
      <w:sz w:val="48"/>
      <w:szCs w:val="48"/>
      <w:lang w:eastAsia="ru-RU"/>
    </w:rPr>
  </w:style>
  <w:style w:type="paragraph" w:styleId="a3">
    <w:name w:val="Normal (Web)"/>
    <w:basedOn w:val="a"/>
    <w:uiPriority w:val="99"/>
    <w:unhideWhenUsed/>
    <w:rsid w:val="00E17DE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E17DEC"/>
    <w:rPr>
      <w:color w:val="0000FF"/>
      <w:u w:val="single"/>
    </w:rPr>
  </w:style>
  <w:style w:type="character" w:styleId="a5">
    <w:name w:val="Strong"/>
    <w:basedOn w:val="a0"/>
    <w:uiPriority w:val="22"/>
    <w:qFormat/>
    <w:rsid w:val="00E17DEC"/>
    <w:rPr>
      <w:b/>
      <w:bCs/>
    </w:rPr>
  </w:style>
  <w:style w:type="paragraph" w:customStyle="1" w:styleId="post-byline">
    <w:name w:val="post-byline"/>
    <w:basedOn w:val="a"/>
    <w:rsid w:val="00E17DE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Emphasis"/>
    <w:basedOn w:val="a0"/>
    <w:uiPriority w:val="20"/>
    <w:qFormat/>
    <w:rsid w:val="00D01E1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E17DE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17DEC"/>
    <w:rPr>
      <w:rFonts w:ascii="Times New Roman" w:eastAsia="Times New Roman" w:hAnsi="Times New Roman" w:cs="Times New Roman"/>
      <w:b/>
      <w:bCs/>
      <w:kern w:val="36"/>
      <w:sz w:val="48"/>
      <w:szCs w:val="48"/>
      <w:lang w:eastAsia="ru-RU"/>
    </w:rPr>
  </w:style>
  <w:style w:type="paragraph" w:styleId="a3">
    <w:name w:val="Normal (Web)"/>
    <w:basedOn w:val="a"/>
    <w:uiPriority w:val="99"/>
    <w:unhideWhenUsed/>
    <w:rsid w:val="00E17DE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E17DEC"/>
    <w:rPr>
      <w:color w:val="0000FF"/>
      <w:u w:val="single"/>
    </w:rPr>
  </w:style>
  <w:style w:type="character" w:styleId="a5">
    <w:name w:val="Strong"/>
    <w:basedOn w:val="a0"/>
    <w:uiPriority w:val="22"/>
    <w:qFormat/>
    <w:rsid w:val="00E17DEC"/>
    <w:rPr>
      <w:b/>
      <w:bCs/>
    </w:rPr>
  </w:style>
  <w:style w:type="paragraph" w:customStyle="1" w:styleId="post-byline">
    <w:name w:val="post-byline"/>
    <w:basedOn w:val="a"/>
    <w:rsid w:val="00E17DE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Emphasis"/>
    <w:basedOn w:val="a0"/>
    <w:uiPriority w:val="20"/>
    <w:qFormat/>
    <w:rsid w:val="00D01E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3898716">
      <w:bodyDiv w:val="1"/>
      <w:marLeft w:val="0"/>
      <w:marRight w:val="0"/>
      <w:marTop w:val="0"/>
      <w:marBottom w:val="0"/>
      <w:divBdr>
        <w:top w:val="none" w:sz="0" w:space="0" w:color="auto"/>
        <w:left w:val="none" w:sz="0" w:space="0" w:color="auto"/>
        <w:bottom w:val="none" w:sz="0" w:space="0" w:color="auto"/>
        <w:right w:val="none" w:sz="0" w:space="0" w:color="auto"/>
      </w:divBdr>
      <w:divsChild>
        <w:div w:id="782189918">
          <w:marLeft w:val="0"/>
          <w:marRight w:val="0"/>
          <w:marTop w:val="0"/>
          <w:marBottom w:val="0"/>
          <w:divBdr>
            <w:top w:val="none" w:sz="0" w:space="0" w:color="auto"/>
            <w:left w:val="none" w:sz="0" w:space="0" w:color="auto"/>
            <w:bottom w:val="none" w:sz="0" w:space="0" w:color="auto"/>
            <w:right w:val="none" w:sz="0" w:space="0" w:color="auto"/>
          </w:divBdr>
          <w:divsChild>
            <w:div w:id="298075749">
              <w:marLeft w:val="0"/>
              <w:marRight w:val="0"/>
              <w:marTop w:val="100"/>
              <w:marBottom w:val="100"/>
              <w:divBdr>
                <w:top w:val="none" w:sz="0" w:space="0" w:color="auto"/>
                <w:left w:val="none" w:sz="0" w:space="0" w:color="auto"/>
                <w:bottom w:val="none" w:sz="0" w:space="0" w:color="auto"/>
                <w:right w:val="none" w:sz="0" w:space="0" w:color="auto"/>
              </w:divBdr>
            </w:div>
          </w:divsChild>
        </w:div>
        <w:div w:id="1243954291">
          <w:marLeft w:val="0"/>
          <w:marRight w:val="0"/>
          <w:marTop w:val="100"/>
          <w:marBottom w:val="100"/>
          <w:divBdr>
            <w:top w:val="none" w:sz="0" w:space="0" w:color="auto"/>
            <w:left w:val="none" w:sz="0" w:space="0" w:color="auto"/>
            <w:bottom w:val="none" w:sz="0" w:space="0" w:color="auto"/>
            <w:right w:val="none" w:sz="0" w:space="0" w:color="auto"/>
          </w:divBdr>
          <w:divsChild>
            <w:div w:id="812596387">
              <w:marLeft w:val="0"/>
              <w:marRight w:val="0"/>
              <w:marTop w:val="0"/>
              <w:marBottom w:val="0"/>
              <w:divBdr>
                <w:top w:val="none" w:sz="0" w:space="0" w:color="auto"/>
                <w:left w:val="none" w:sz="0" w:space="0" w:color="auto"/>
                <w:bottom w:val="none" w:sz="0" w:space="0" w:color="auto"/>
                <w:right w:val="none" w:sz="0" w:space="0" w:color="auto"/>
              </w:divBdr>
              <w:divsChild>
                <w:div w:id="807354097">
                  <w:marLeft w:val="0"/>
                  <w:marRight w:val="0"/>
                  <w:marTop w:val="0"/>
                  <w:marBottom w:val="0"/>
                  <w:divBdr>
                    <w:top w:val="none" w:sz="0" w:space="0" w:color="auto"/>
                    <w:left w:val="none" w:sz="0" w:space="0" w:color="auto"/>
                    <w:bottom w:val="none" w:sz="0" w:space="0" w:color="auto"/>
                    <w:right w:val="none" w:sz="0" w:space="0" w:color="auto"/>
                  </w:divBdr>
                  <w:divsChild>
                    <w:div w:id="1440250716">
                      <w:marLeft w:val="-225"/>
                      <w:marRight w:val="-225"/>
                      <w:marTop w:val="0"/>
                      <w:marBottom w:val="0"/>
                      <w:divBdr>
                        <w:top w:val="none" w:sz="0" w:space="0" w:color="auto"/>
                        <w:left w:val="none" w:sz="0" w:space="0" w:color="auto"/>
                        <w:bottom w:val="none" w:sz="0" w:space="0" w:color="auto"/>
                        <w:right w:val="none" w:sz="0" w:space="0" w:color="auto"/>
                      </w:divBdr>
                      <w:divsChild>
                        <w:div w:id="549878811">
                          <w:marLeft w:val="0"/>
                          <w:marRight w:val="0"/>
                          <w:marTop w:val="0"/>
                          <w:marBottom w:val="0"/>
                          <w:divBdr>
                            <w:top w:val="none" w:sz="0" w:space="0" w:color="auto"/>
                            <w:left w:val="none" w:sz="0" w:space="0" w:color="auto"/>
                            <w:bottom w:val="none" w:sz="0" w:space="0" w:color="auto"/>
                            <w:right w:val="none" w:sz="0" w:space="0" w:color="auto"/>
                          </w:divBdr>
                          <w:divsChild>
                            <w:div w:id="358429400">
                              <w:marLeft w:val="0"/>
                              <w:marRight w:val="0"/>
                              <w:marTop w:val="0"/>
                              <w:marBottom w:val="0"/>
                              <w:divBdr>
                                <w:top w:val="none" w:sz="0" w:space="0" w:color="auto"/>
                                <w:left w:val="none" w:sz="0" w:space="0" w:color="auto"/>
                                <w:bottom w:val="none" w:sz="0" w:space="0" w:color="auto"/>
                                <w:right w:val="none" w:sz="0" w:space="0" w:color="auto"/>
                              </w:divBdr>
                              <w:divsChild>
                                <w:div w:id="92696663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46236938">
      <w:bodyDiv w:val="1"/>
      <w:marLeft w:val="0"/>
      <w:marRight w:val="0"/>
      <w:marTop w:val="0"/>
      <w:marBottom w:val="0"/>
      <w:divBdr>
        <w:top w:val="none" w:sz="0" w:space="0" w:color="auto"/>
        <w:left w:val="none" w:sz="0" w:space="0" w:color="auto"/>
        <w:bottom w:val="none" w:sz="0" w:space="0" w:color="auto"/>
        <w:right w:val="none" w:sz="0" w:space="0" w:color="auto"/>
      </w:divBdr>
      <w:divsChild>
        <w:div w:id="1741901510">
          <w:marLeft w:val="0"/>
          <w:marRight w:val="0"/>
          <w:marTop w:val="0"/>
          <w:marBottom w:val="0"/>
          <w:divBdr>
            <w:top w:val="none" w:sz="0" w:space="0" w:color="auto"/>
            <w:left w:val="none" w:sz="0" w:space="0" w:color="auto"/>
            <w:bottom w:val="none" w:sz="0" w:space="0" w:color="auto"/>
            <w:right w:val="none" w:sz="0" w:space="0" w:color="auto"/>
          </w:divBdr>
          <w:divsChild>
            <w:div w:id="515316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959655">
      <w:bodyDiv w:val="1"/>
      <w:marLeft w:val="0"/>
      <w:marRight w:val="0"/>
      <w:marTop w:val="0"/>
      <w:marBottom w:val="0"/>
      <w:divBdr>
        <w:top w:val="none" w:sz="0" w:space="0" w:color="auto"/>
        <w:left w:val="none" w:sz="0" w:space="0" w:color="auto"/>
        <w:bottom w:val="none" w:sz="0" w:space="0" w:color="auto"/>
        <w:right w:val="none" w:sz="0" w:space="0" w:color="auto"/>
      </w:divBdr>
      <w:divsChild>
        <w:div w:id="308171288">
          <w:marLeft w:val="0"/>
          <w:marRight w:val="0"/>
          <w:marTop w:val="0"/>
          <w:marBottom w:val="0"/>
          <w:divBdr>
            <w:top w:val="none" w:sz="0" w:space="0" w:color="auto"/>
            <w:left w:val="none" w:sz="0" w:space="0" w:color="auto"/>
            <w:bottom w:val="none" w:sz="0" w:space="0" w:color="auto"/>
            <w:right w:val="none" w:sz="0" w:space="0" w:color="auto"/>
          </w:divBdr>
          <w:divsChild>
            <w:div w:id="1495216435">
              <w:marLeft w:val="0"/>
              <w:marRight w:val="0"/>
              <w:marTop w:val="100"/>
              <w:marBottom w:val="100"/>
              <w:divBdr>
                <w:top w:val="none" w:sz="0" w:space="0" w:color="auto"/>
                <w:left w:val="none" w:sz="0" w:space="0" w:color="auto"/>
                <w:bottom w:val="none" w:sz="0" w:space="0" w:color="auto"/>
                <w:right w:val="none" w:sz="0" w:space="0" w:color="auto"/>
              </w:divBdr>
            </w:div>
          </w:divsChild>
        </w:div>
        <w:div w:id="1786541535">
          <w:marLeft w:val="0"/>
          <w:marRight w:val="0"/>
          <w:marTop w:val="100"/>
          <w:marBottom w:val="100"/>
          <w:divBdr>
            <w:top w:val="none" w:sz="0" w:space="0" w:color="auto"/>
            <w:left w:val="none" w:sz="0" w:space="0" w:color="auto"/>
            <w:bottom w:val="none" w:sz="0" w:space="0" w:color="auto"/>
            <w:right w:val="none" w:sz="0" w:space="0" w:color="auto"/>
          </w:divBdr>
          <w:divsChild>
            <w:div w:id="391739256">
              <w:marLeft w:val="0"/>
              <w:marRight w:val="0"/>
              <w:marTop w:val="0"/>
              <w:marBottom w:val="0"/>
              <w:divBdr>
                <w:top w:val="none" w:sz="0" w:space="0" w:color="auto"/>
                <w:left w:val="none" w:sz="0" w:space="0" w:color="auto"/>
                <w:bottom w:val="none" w:sz="0" w:space="0" w:color="auto"/>
                <w:right w:val="none" w:sz="0" w:space="0" w:color="auto"/>
              </w:divBdr>
              <w:divsChild>
                <w:div w:id="704597515">
                  <w:marLeft w:val="0"/>
                  <w:marRight w:val="0"/>
                  <w:marTop w:val="0"/>
                  <w:marBottom w:val="0"/>
                  <w:divBdr>
                    <w:top w:val="none" w:sz="0" w:space="0" w:color="auto"/>
                    <w:left w:val="none" w:sz="0" w:space="0" w:color="auto"/>
                    <w:bottom w:val="none" w:sz="0" w:space="0" w:color="auto"/>
                    <w:right w:val="none" w:sz="0" w:space="0" w:color="auto"/>
                  </w:divBdr>
                  <w:divsChild>
                    <w:div w:id="412626151">
                      <w:marLeft w:val="-225"/>
                      <w:marRight w:val="-225"/>
                      <w:marTop w:val="0"/>
                      <w:marBottom w:val="0"/>
                      <w:divBdr>
                        <w:top w:val="none" w:sz="0" w:space="0" w:color="auto"/>
                        <w:left w:val="none" w:sz="0" w:space="0" w:color="auto"/>
                        <w:bottom w:val="none" w:sz="0" w:space="0" w:color="auto"/>
                        <w:right w:val="none" w:sz="0" w:space="0" w:color="auto"/>
                      </w:divBdr>
                      <w:divsChild>
                        <w:div w:id="359671147">
                          <w:marLeft w:val="0"/>
                          <w:marRight w:val="0"/>
                          <w:marTop w:val="0"/>
                          <w:marBottom w:val="0"/>
                          <w:divBdr>
                            <w:top w:val="none" w:sz="0" w:space="0" w:color="auto"/>
                            <w:left w:val="none" w:sz="0" w:space="0" w:color="auto"/>
                            <w:bottom w:val="none" w:sz="0" w:space="0" w:color="auto"/>
                            <w:right w:val="none" w:sz="0" w:space="0" w:color="auto"/>
                          </w:divBdr>
                          <w:divsChild>
                            <w:div w:id="1994523061">
                              <w:marLeft w:val="0"/>
                              <w:marRight w:val="0"/>
                              <w:marTop w:val="0"/>
                              <w:marBottom w:val="0"/>
                              <w:divBdr>
                                <w:top w:val="none" w:sz="0" w:space="0" w:color="auto"/>
                                <w:left w:val="none" w:sz="0" w:space="0" w:color="auto"/>
                                <w:bottom w:val="none" w:sz="0" w:space="0" w:color="auto"/>
                                <w:right w:val="none" w:sz="0" w:space="0" w:color="auto"/>
                              </w:divBdr>
                              <w:divsChild>
                                <w:div w:id="205064475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7750145">
      <w:bodyDiv w:val="1"/>
      <w:marLeft w:val="0"/>
      <w:marRight w:val="0"/>
      <w:marTop w:val="0"/>
      <w:marBottom w:val="0"/>
      <w:divBdr>
        <w:top w:val="none" w:sz="0" w:space="0" w:color="auto"/>
        <w:left w:val="none" w:sz="0" w:space="0" w:color="auto"/>
        <w:bottom w:val="none" w:sz="0" w:space="0" w:color="auto"/>
        <w:right w:val="none" w:sz="0" w:space="0" w:color="auto"/>
      </w:divBdr>
      <w:divsChild>
        <w:div w:id="2054572513">
          <w:marLeft w:val="0"/>
          <w:marRight w:val="0"/>
          <w:marTop w:val="0"/>
          <w:marBottom w:val="0"/>
          <w:divBdr>
            <w:top w:val="none" w:sz="0" w:space="0" w:color="auto"/>
            <w:left w:val="none" w:sz="0" w:space="0" w:color="auto"/>
            <w:bottom w:val="none" w:sz="0" w:space="0" w:color="auto"/>
            <w:right w:val="none" w:sz="0" w:space="0" w:color="auto"/>
          </w:divBdr>
          <w:divsChild>
            <w:div w:id="898633685">
              <w:marLeft w:val="0"/>
              <w:marRight w:val="0"/>
              <w:marTop w:val="100"/>
              <w:marBottom w:val="100"/>
              <w:divBdr>
                <w:top w:val="none" w:sz="0" w:space="0" w:color="auto"/>
                <w:left w:val="none" w:sz="0" w:space="0" w:color="auto"/>
                <w:bottom w:val="none" w:sz="0" w:space="0" w:color="auto"/>
                <w:right w:val="none" w:sz="0" w:space="0" w:color="auto"/>
              </w:divBdr>
            </w:div>
          </w:divsChild>
        </w:div>
        <w:div w:id="1376277552">
          <w:marLeft w:val="0"/>
          <w:marRight w:val="0"/>
          <w:marTop w:val="100"/>
          <w:marBottom w:val="100"/>
          <w:divBdr>
            <w:top w:val="none" w:sz="0" w:space="0" w:color="auto"/>
            <w:left w:val="none" w:sz="0" w:space="0" w:color="auto"/>
            <w:bottom w:val="none" w:sz="0" w:space="0" w:color="auto"/>
            <w:right w:val="none" w:sz="0" w:space="0" w:color="auto"/>
          </w:divBdr>
          <w:divsChild>
            <w:div w:id="1052117325">
              <w:marLeft w:val="0"/>
              <w:marRight w:val="0"/>
              <w:marTop w:val="0"/>
              <w:marBottom w:val="0"/>
              <w:divBdr>
                <w:top w:val="none" w:sz="0" w:space="0" w:color="auto"/>
                <w:left w:val="none" w:sz="0" w:space="0" w:color="auto"/>
                <w:bottom w:val="none" w:sz="0" w:space="0" w:color="auto"/>
                <w:right w:val="none" w:sz="0" w:space="0" w:color="auto"/>
              </w:divBdr>
              <w:divsChild>
                <w:div w:id="1886986067">
                  <w:marLeft w:val="0"/>
                  <w:marRight w:val="0"/>
                  <w:marTop w:val="0"/>
                  <w:marBottom w:val="0"/>
                  <w:divBdr>
                    <w:top w:val="none" w:sz="0" w:space="0" w:color="auto"/>
                    <w:left w:val="none" w:sz="0" w:space="0" w:color="auto"/>
                    <w:bottom w:val="none" w:sz="0" w:space="0" w:color="auto"/>
                    <w:right w:val="none" w:sz="0" w:space="0" w:color="auto"/>
                  </w:divBdr>
                  <w:divsChild>
                    <w:div w:id="715084895">
                      <w:marLeft w:val="-225"/>
                      <w:marRight w:val="-225"/>
                      <w:marTop w:val="0"/>
                      <w:marBottom w:val="0"/>
                      <w:divBdr>
                        <w:top w:val="none" w:sz="0" w:space="0" w:color="auto"/>
                        <w:left w:val="none" w:sz="0" w:space="0" w:color="auto"/>
                        <w:bottom w:val="none" w:sz="0" w:space="0" w:color="auto"/>
                        <w:right w:val="none" w:sz="0" w:space="0" w:color="auto"/>
                      </w:divBdr>
                      <w:divsChild>
                        <w:div w:id="536429670">
                          <w:marLeft w:val="0"/>
                          <w:marRight w:val="0"/>
                          <w:marTop w:val="0"/>
                          <w:marBottom w:val="0"/>
                          <w:divBdr>
                            <w:top w:val="none" w:sz="0" w:space="0" w:color="auto"/>
                            <w:left w:val="none" w:sz="0" w:space="0" w:color="auto"/>
                            <w:bottom w:val="none" w:sz="0" w:space="0" w:color="auto"/>
                            <w:right w:val="none" w:sz="0" w:space="0" w:color="auto"/>
                          </w:divBdr>
                          <w:divsChild>
                            <w:div w:id="1127695736">
                              <w:marLeft w:val="0"/>
                              <w:marRight w:val="0"/>
                              <w:marTop w:val="0"/>
                              <w:marBottom w:val="0"/>
                              <w:divBdr>
                                <w:top w:val="none" w:sz="0" w:space="0" w:color="auto"/>
                                <w:left w:val="none" w:sz="0" w:space="0" w:color="auto"/>
                                <w:bottom w:val="none" w:sz="0" w:space="0" w:color="auto"/>
                                <w:right w:val="none" w:sz="0" w:space="0" w:color="auto"/>
                              </w:divBdr>
                              <w:divsChild>
                                <w:div w:id="131664246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2567372">
      <w:bodyDiv w:val="1"/>
      <w:marLeft w:val="0"/>
      <w:marRight w:val="0"/>
      <w:marTop w:val="0"/>
      <w:marBottom w:val="0"/>
      <w:divBdr>
        <w:top w:val="none" w:sz="0" w:space="0" w:color="auto"/>
        <w:left w:val="none" w:sz="0" w:space="0" w:color="auto"/>
        <w:bottom w:val="none" w:sz="0" w:space="0" w:color="auto"/>
        <w:right w:val="none" w:sz="0" w:space="0" w:color="auto"/>
      </w:divBdr>
      <w:divsChild>
        <w:div w:id="1258055963">
          <w:marLeft w:val="0"/>
          <w:marRight w:val="0"/>
          <w:marTop w:val="0"/>
          <w:marBottom w:val="0"/>
          <w:divBdr>
            <w:top w:val="none" w:sz="0" w:space="0" w:color="auto"/>
            <w:left w:val="none" w:sz="0" w:space="0" w:color="auto"/>
            <w:bottom w:val="none" w:sz="0" w:space="0" w:color="auto"/>
            <w:right w:val="none" w:sz="0" w:space="0" w:color="auto"/>
          </w:divBdr>
          <w:divsChild>
            <w:div w:id="1037972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961996">
      <w:bodyDiv w:val="1"/>
      <w:marLeft w:val="0"/>
      <w:marRight w:val="0"/>
      <w:marTop w:val="0"/>
      <w:marBottom w:val="0"/>
      <w:divBdr>
        <w:top w:val="none" w:sz="0" w:space="0" w:color="auto"/>
        <w:left w:val="none" w:sz="0" w:space="0" w:color="auto"/>
        <w:bottom w:val="none" w:sz="0" w:space="0" w:color="auto"/>
        <w:right w:val="none" w:sz="0" w:space="0" w:color="auto"/>
      </w:divBdr>
      <w:divsChild>
        <w:div w:id="2116516338">
          <w:marLeft w:val="0"/>
          <w:marRight w:val="0"/>
          <w:marTop w:val="0"/>
          <w:marBottom w:val="0"/>
          <w:divBdr>
            <w:top w:val="none" w:sz="0" w:space="0" w:color="auto"/>
            <w:left w:val="none" w:sz="0" w:space="0" w:color="auto"/>
            <w:bottom w:val="none" w:sz="0" w:space="0" w:color="auto"/>
            <w:right w:val="none" w:sz="0" w:space="0" w:color="auto"/>
          </w:divBdr>
          <w:divsChild>
            <w:div w:id="1559853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remlin.ru/acts/bank/50837/page/1" TargetMode="External"/><Relationship Id="rId13" Type="http://schemas.openxmlformats.org/officeDocument/2006/relationships/hyperlink" Target="https://ebs.ru/citizens/" TargetMode="External"/><Relationship Id="rId18" Type="http://schemas.openxmlformats.org/officeDocument/2006/relationships/hyperlink" Target="https://nalog.garant.ru/fns/nk/5f8ae450aa10a78f0b0005a38b5989df/" TargetMode="Externa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s://esia.gosuslugi.ru/login/" TargetMode="External"/><Relationship Id="rId7" Type="http://schemas.openxmlformats.org/officeDocument/2006/relationships/hyperlink" Target="https://data.nalog.ru/html/sites/www.new.nalog.ru/files/about_fts/amn_recomm.pdf" TargetMode="External"/><Relationship Id="rId12" Type="http://schemas.openxmlformats.org/officeDocument/2006/relationships/hyperlink" Target="https://www.nalog.gov.ru/rn77/news/activities_fts/14566326/" TargetMode="External"/><Relationship Id="rId17" Type="http://schemas.openxmlformats.org/officeDocument/2006/relationships/hyperlink" Target="https://economy.gov.ru/material/directions/vneshneekonomicheskaya_deyatelnost/tamozhenno_tarifnoe_regulirovanie/"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fas.gov.ru/pages/pokazateli-dla-vycheta-akciza" TargetMode="External"/><Relationship Id="rId20" Type="http://schemas.openxmlformats.org/officeDocument/2006/relationships/hyperlink" Target="https://lkfl2.nalog.ru/lkfl" TargetMode="External"/><Relationship Id="rId1" Type="http://schemas.openxmlformats.org/officeDocument/2006/relationships/numbering" Target="numbering.xml"/><Relationship Id="rId6" Type="http://schemas.openxmlformats.org/officeDocument/2006/relationships/hyperlink" Target="https://telemost.yandex.ru/j/41796330011109" TargetMode="External"/><Relationship Id="rId11" Type="http://schemas.openxmlformats.org/officeDocument/2006/relationships/hyperlink" Target="https://service.nalog.ru/gosreg/" TargetMode="External"/><Relationship Id="rId24" Type="http://schemas.openxmlformats.org/officeDocument/2006/relationships/hyperlink" Target="https://www.nalog.gov.ru/rn77/news/activities_fts/15295368/%D0%90%D0%B3%D0%B5%D0%BD%D1%82%D1%81%D1%82%D0%B2%D0%B0%20%D0%BF%D0%BE%20%D1%81%D1%82%D1%80%D0%B0%D1%85%D0%BE%D0%B2%D0%B0%D0%BD%D0%B8%D1%8E%20%D0%B2%D0%BA%D0%BB%D0%B0%D0%B4%D0%BE%D0%B2" TargetMode="External"/><Relationship Id="rId5" Type="http://schemas.openxmlformats.org/officeDocument/2006/relationships/webSettings" Target="webSettings.xml"/><Relationship Id="rId15" Type="http://schemas.openxmlformats.org/officeDocument/2006/relationships/hyperlink" Target="https://economy.gov.ru/material/departments/d12/konyunktura_mirovyh_tovarnyh_rynkov/o_srednem_urovne_cen_nefti_sorta_yurals_za_sentyabr_2024_goda.html" TargetMode="External"/><Relationship Id="rId23" Type="http://schemas.openxmlformats.org/officeDocument/2006/relationships/hyperlink" Target="http://publication.pravo.gov.ru/Document/View/0001202203260011" TargetMode="External"/><Relationship Id="rId10" Type="http://schemas.openxmlformats.org/officeDocument/2006/relationships/hyperlink" Target="https://www.nalog.gov.ru/rn77/about_fts/about_nalog/15318056/" TargetMode="External"/><Relationship Id="rId19" Type="http://schemas.openxmlformats.org/officeDocument/2006/relationships/hyperlink" Target="https://www.nalog.gov.ru/rn77/about_fts/docs/12733847/" TargetMode="External"/><Relationship Id="rId4" Type="http://schemas.openxmlformats.org/officeDocument/2006/relationships/settings" Target="settings.xml"/><Relationship Id="rId9" Type="http://schemas.openxmlformats.org/officeDocument/2006/relationships/hyperlink" Target="https://www.nalog.gov.ru/rn77/promo/na/" TargetMode="External"/><Relationship Id="rId14" Type="http://schemas.openxmlformats.org/officeDocument/2006/relationships/hyperlink" Target="https://www.nalog.gov.ru/rn77/promo/start/" TargetMode="External"/><Relationship Id="rId22" Type="http://schemas.openxmlformats.org/officeDocument/2006/relationships/hyperlink" Target="https://www.nalog.gov.ru/rn77/about_fts/docs/1288404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5</Pages>
  <Words>1975</Words>
  <Characters>11260</Characters>
  <Application>Microsoft Office Word</Application>
  <DocSecurity>0</DocSecurity>
  <Lines>93</Lines>
  <Paragraphs>26</Paragraphs>
  <ScaleCrop>false</ScaleCrop>
  <Company/>
  <LinksUpToDate>false</LinksUpToDate>
  <CharactersWithSpaces>13209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Света</dc:creator>
  <cp:keywords/>
  <dc:description/>
  <cp:lastModifiedBy>Мурчич Светлана Викторовна</cp:lastModifiedBy>
  <cp:revision>8</cp:revision>
  <dcterms:created xsi:type="dcterms:W3CDTF">2024-10-20T14:49:00Z</dcterms:created>
  <dcterms:modified xsi:type="dcterms:W3CDTF">2024-10-21T06:43:00Z</dcterms:modified>
</cp:coreProperties>
</file>