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74E" w:rsidRDefault="000F2CF1" w:rsidP="00CD6E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Паспорт инвестиционного предложения</w:t>
      </w:r>
    </w:p>
    <w:p w:rsidR="005F774E" w:rsidRDefault="005F774E">
      <w:pPr>
        <w:spacing w:after="0" w:line="240" w:lineRule="auto"/>
        <w:rPr>
          <w:rFonts w:ascii="Times New Roman" w:hAnsi="Times New Roman" w:cs="Times New Roman"/>
          <w:b/>
          <w:bCs/>
          <w:sz w:val="24"/>
          <w:szCs w:val="24"/>
        </w:rPr>
      </w:pPr>
    </w:p>
    <w:tbl>
      <w:tblPr>
        <w:tblStyle w:val="af4"/>
        <w:tblW w:w="10768" w:type="dxa"/>
        <w:tblLayout w:type="fixed"/>
        <w:tblLook w:val="04A0" w:firstRow="1" w:lastRow="0" w:firstColumn="1" w:lastColumn="0" w:noHBand="0" w:noVBand="1"/>
      </w:tblPr>
      <w:tblGrid>
        <w:gridCol w:w="2361"/>
        <w:gridCol w:w="1036"/>
        <w:gridCol w:w="1346"/>
        <w:gridCol w:w="2311"/>
        <w:gridCol w:w="3714"/>
      </w:tblGrid>
      <w:tr w:rsidR="005F774E" w:rsidTr="00CD6E68">
        <w:tc>
          <w:tcPr>
            <w:tcW w:w="10768" w:type="dxa"/>
            <w:gridSpan w:val="5"/>
          </w:tcPr>
          <w:p w:rsidR="005F774E" w:rsidRDefault="000F2CF1">
            <w:pPr>
              <w:jc w:val="center"/>
              <w:rPr>
                <w:rFonts w:ascii="Times New Roman" w:hAnsi="Times New Roman" w:cs="Times New Roman"/>
                <w:sz w:val="24"/>
                <w:szCs w:val="24"/>
              </w:rPr>
            </w:pPr>
            <w:bookmarkStart w:id="0" w:name="_GoBack"/>
            <w:r>
              <w:rPr>
                <w:rFonts w:ascii="Times New Roman" w:hAnsi="Times New Roman" w:cs="Times New Roman"/>
                <w:sz w:val="24"/>
                <w:szCs w:val="24"/>
              </w:rPr>
              <w:t>Основные характеристики инвестиционного проекта</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Наименование инвестиционного проекта</w:t>
            </w:r>
          </w:p>
        </w:tc>
        <w:tc>
          <w:tcPr>
            <w:tcW w:w="7371" w:type="dxa"/>
            <w:gridSpan w:val="3"/>
          </w:tcPr>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 xml:space="preserve">Создание </w:t>
            </w: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-выставочного центра на территории научно-технологического центра в городе Сургуте Ханты-Мансийского автономного округа – Югры (далее – КВЦ)</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Субъект Российской Федерации</w:t>
            </w:r>
          </w:p>
        </w:tc>
        <w:tc>
          <w:tcPr>
            <w:tcW w:w="7371" w:type="dxa"/>
            <w:gridSpan w:val="3"/>
          </w:tcPr>
          <w:p w:rsidR="005F774E" w:rsidRDefault="000F2CF1">
            <w:pPr>
              <w:rPr>
                <w:rFonts w:ascii="Times New Roman" w:hAnsi="Times New Roman" w:cs="Times New Roman"/>
                <w:bCs/>
                <w:sz w:val="24"/>
                <w:szCs w:val="24"/>
              </w:rPr>
            </w:pPr>
            <w:r>
              <w:rPr>
                <w:rFonts w:ascii="Times New Roman" w:hAnsi="Times New Roman" w:cs="Times New Roman"/>
                <w:bCs/>
                <w:sz w:val="24"/>
                <w:szCs w:val="24"/>
              </w:rPr>
              <w:t>Ханты-Мансийский автономный округ-Югра</w:t>
            </w:r>
          </w:p>
          <w:p w:rsidR="005F774E" w:rsidRDefault="000F2CF1">
            <w:pPr>
              <w:rPr>
                <w:rFonts w:ascii="Times New Roman" w:hAnsi="Times New Roman" w:cs="Times New Roman"/>
                <w:bCs/>
                <w:sz w:val="24"/>
                <w:szCs w:val="24"/>
              </w:rPr>
            </w:pPr>
            <w:r>
              <w:rPr>
                <w:rFonts w:ascii="Times New Roman" w:hAnsi="Times New Roman" w:cs="Times New Roman"/>
                <w:bCs/>
                <w:sz w:val="24"/>
                <w:szCs w:val="24"/>
              </w:rPr>
              <w:t>г. Сургут</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Цель инвестиционного проекта</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Формирование деловой коммерческой инфраструктуры для первого инновационного научно-технологического центра федерального масштаба, создаваемого в Уральском федеральном округе.</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Краткое описание инвестиционного</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проекта</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В г. Сургуте Ханты-Мансийского автономного округа – Югры на основании Постановления Правительства Российской Федерации от 02.08.2023 № 1255 «О создании инновационного научно-технологического центра «ЮНИТИ ПАРК» создается единственный инновационный научно-технологический центр на территории Уральского Федерального округа, состоящий из научно-технологического парка, объектов инновационной, научно-технологической деятельности и исследовательских лабораторий.</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Приоритетными направлениями инновационной научно-технологической деятельности ИНТЦ «ЮНИТИ ПАРК» являются:</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 xml:space="preserve">разработка технологий в области топливно-энергетической безопасности: технологии добычи </w:t>
            </w:r>
            <w:proofErr w:type="spellStart"/>
            <w:r>
              <w:rPr>
                <w:rFonts w:ascii="Times New Roman" w:hAnsi="Times New Roman" w:cs="Times New Roman"/>
                <w:bCs/>
                <w:sz w:val="24"/>
                <w:szCs w:val="24"/>
              </w:rPr>
              <w:t>трудноизвлекаемых</w:t>
            </w:r>
            <w:proofErr w:type="spellEnd"/>
            <w:r>
              <w:rPr>
                <w:rFonts w:ascii="Times New Roman" w:hAnsi="Times New Roman" w:cs="Times New Roman"/>
                <w:bCs/>
                <w:sz w:val="24"/>
                <w:szCs w:val="24"/>
              </w:rPr>
              <w:t xml:space="preserve"> запасов нефти, прикладная геология, малотоннажная нефтехимия и материалы энергоэффективного строительства;</w:t>
            </w:r>
          </w:p>
          <w:p w:rsidR="005F774E" w:rsidRDefault="000F2CF1">
            <w:pPr>
              <w:jc w:val="both"/>
              <w:rPr>
                <w:rFonts w:ascii="Times New Roman" w:hAnsi="Times New Roman" w:cs="Times New Roman"/>
                <w:sz w:val="24"/>
                <w:szCs w:val="24"/>
              </w:rPr>
            </w:pPr>
            <w:proofErr w:type="spellStart"/>
            <w:r>
              <w:rPr>
                <w:rFonts w:ascii="Times New Roman" w:hAnsi="Times New Roman" w:cs="Times New Roman"/>
                <w:bCs/>
                <w:sz w:val="24"/>
                <w:szCs w:val="24"/>
              </w:rPr>
              <w:t>здоровьесбережение</w:t>
            </w:r>
            <w:proofErr w:type="spellEnd"/>
            <w:r>
              <w:rPr>
                <w:rFonts w:ascii="Times New Roman" w:hAnsi="Times New Roman" w:cs="Times New Roman"/>
                <w:bCs/>
                <w:sz w:val="24"/>
                <w:szCs w:val="24"/>
              </w:rPr>
              <w:t xml:space="preserve"> и качество жизни населения;</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передовые инженерные технологии и новые материалы, адаптированные к условиям Севера и Арктики.</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ИНТЦ «ЮНИТИ ПАРК» станет объектом притяжения для бизнеса, научных сообществ, населения, визитной карточкой автономного округа. С целью интеграции объекта в общественную и деловую жизнь региона на территории Центра требуется создание деловой, социально-культурной инфраструктуры.</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Одним из таких объектов, обеспечивающих деловое, социально-культурное развитие ИНТЦ «ЮНИТИ ПАРК», является </w:t>
            </w: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-выставочный центр (КВЦ).</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КВЦ должен представлять собой помещения для проведения конгрессов, выставок, съездов, форумов, стратегических сессий и других мероприятий, для привлечения деловой и научной активности ИНТЦ.</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КВЦ должен состоять из двух объемов:</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конференц-зал с тремя лекционными залами;</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многофункциональное пространство площадью не менее 9 000 м</w:t>
            </w:r>
            <w:r>
              <w:rPr>
                <w:rFonts w:ascii="Times New Roman" w:hAnsi="Times New Roman" w:cs="Times New Roman"/>
                <w:bCs/>
                <w:sz w:val="24"/>
                <w:szCs w:val="24"/>
                <w:vertAlign w:val="superscript"/>
              </w:rPr>
              <w:t>2</w:t>
            </w:r>
            <w:r>
              <w:rPr>
                <w:rFonts w:ascii="Times New Roman" w:hAnsi="Times New Roman" w:cs="Times New Roman"/>
                <w:bCs/>
                <w:sz w:val="24"/>
                <w:szCs w:val="24"/>
              </w:rPr>
              <w:t>, в котором можно проводить различные мероприятия: выставки, спортивные мероприятия, салоны, концерты.</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Помимо КВЦ, на территории ИНТЦ в составе деловой и социально-культурной инфраструктуры будут созданы спортивно-досуговые объекты, жилые кварталы с комфортными условиями проживания, школа и детские сады, медицинская клиника, культурно-досуговый комплекс, многофункциональный офисный центр, дом детского творчества, технические зоны, прогулочные зоны и зоны отдыха, гостиничные комплексы, места общего пользования.</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Территория создания ИНТЦ будет обеспечена инженерной и транспортной инфраструктурой: парковки, остановки общественного транспорта, объекты инженерной и транспортной инфраструктуры, строительство которых обеспечит коммунальные ресурсы, транспортную и пешеходную доступность, а также хозяйственные зоны для размещения котельных и трансформаторных подстанций. </w:t>
            </w:r>
            <w:r>
              <w:rPr>
                <w:rFonts w:ascii="Times New Roman" w:hAnsi="Times New Roman" w:cs="Times New Roman"/>
                <w:bCs/>
                <w:sz w:val="24"/>
                <w:szCs w:val="24"/>
              </w:rPr>
              <w:lastRenderedPageBreak/>
              <w:t>Создание и эксплуатация объектов инженерной и транспортной инфраструктуры будет осуществлять муниципальное образование г. Сургут.</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Отрасль экономики, в которой</w:t>
            </w:r>
          </w:p>
          <w:p w:rsidR="005F774E" w:rsidRDefault="000F2CF1">
            <w:pPr>
              <w:rPr>
                <w:rFonts w:ascii="Times New Roman" w:hAnsi="Times New Roman" w:cs="Times New Roman"/>
                <w:sz w:val="24"/>
                <w:szCs w:val="24"/>
              </w:rPr>
            </w:pPr>
            <w:r>
              <w:rPr>
                <w:rFonts w:ascii="Times New Roman" w:hAnsi="Times New Roman" w:cs="Times New Roman"/>
                <w:sz w:val="24"/>
                <w:szCs w:val="24"/>
              </w:rPr>
              <w:t>планируется реализация</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371" w:type="dxa"/>
            <w:gridSpan w:val="3"/>
          </w:tcPr>
          <w:p w:rsidR="005F774E" w:rsidRDefault="000F2CF1">
            <w:pPr>
              <w:rPr>
                <w:rFonts w:ascii="Times New Roman" w:hAnsi="Times New Roman" w:cs="Times New Roman"/>
                <w:bCs/>
                <w:sz w:val="24"/>
                <w:szCs w:val="24"/>
              </w:rPr>
            </w:pPr>
            <w:proofErr w:type="spellStart"/>
            <w:r>
              <w:rPr>
                <w:rFonts w:ascii="Times New Roman" w:hAnsi="Times New Roman" w:cs="Times New Roman"/>
                <w:bCs/>
                <w:sz w:val="24"/>
                <w:szCs w:val="24"/>
              </w:rPr>
              <w:t>Девелопмент</w:t>
            </w:r>
            <w:proofErr w:type="spellEnd"/>
            <w:r>
              <w:rPr>
                <w:rFonts w:ascii="Times New Roman" w:hAnsi="Times New Roman" w:cs="Times New Roman"/>
                <w:bCs/>
                <w:sz w:val="24"/>
                <w:szCs w:val="24"/>
              </w:rPr>
              <w:t xml:space="preserve"> (Аренда и управление собственным или арендованным нежилым недвижимым имуществом)</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Срок и этапы реализации</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До 48 месяцев:</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Прединвестиционный (проектирование)</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Инвестиционный (строительство) </w:t>
            </w:r>
          </w:p>
          <w:p w:rsidR="005F774E" w:rsidRDefault="000F2CF1">
            <w:pPr>
              <w:rPr>
                <w:rFonts w:ascii="Times New Roman" w:hAnsi="Times New Roman" w:cs="Times New Roman"/>
                <w:bCs/>
                <w:sz w:val="24"/>
                <w:szCs w:val="24"/>
              </w:rPr>
            </w:pPr>
            <w:r>
              <w:rPr>
                <w:rFonts w:ascii="Times New Roman" w:hAnsi="Times New Roman" w:cs="Times New Roman"/>
                <w:bCs/>
                <w:sz w:val="24"/>
                <w:szCs w:val="24"/>
              </w:rPr>
              <w:t>Эксплуатационный (осуществление деятельности)</w:t>
            </w:r>
          </w:p>
        </w:tc>
      </w:tr>
      <w:tr w:rsidR="005F774E" w:rsidTr="00CD6E68">
        <w:trPr>
          <w:trHeight w:val="326"/>
        </w:trPr>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Территория реализации инвестиционного проекта</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г. Сургут Ханты-Мансийского автономного округа – Югры</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Планируемая к выпуску</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продукция/оказываемая услуга</w:t>
            </w:r>
          </w:p>
        </w:tc>
        <w:tc>
          <w:tcPr>
            <w:tcW w:w="7371" w:type="dxa"/>
            <w:gridSpan w:val="3"/>
          </w:tcPr>
          <w:p w:rsidR="005F774E" w:rsidRDefault="000F2CF1">
            <w:pPr>
              <w:rPr>
                <w:rFonts w:ascii="Times New Roman" w:hAnsi="Times New Roman" w:cs="Times New Roman"/>
                <w:sz w:val="24"/>
                <w:szCs w:val="24"/>
              </w:rPr>
            </w:pPr>
            <w:r>
              <w:rPr>
                <w:rFonts w:ascii="Times New Roman" w:hAnsi="Times New Roman" w:cs="Times New Roman"/>
                <w:bCs/>
                <w:sz w:val="24"/>
                <w:szCs w:val="24"/>
              </w:rPr>
              <w:t>Предоставление в аренду помещений и пространств для проведения мероприятий, а также организация мероприятий:</w:t>
            </w:r>
          </w:p>
          <w:p w:rsidR="005F774E" w:rsidRDefault="000F2CF1">
            <w:pPr>
              <w:rPr>
                <w:rFonts w:ascii="Times New Roman" w:hAnsi="Times New Roman" w:cs="Times New Roman"/>
                <w:sz w:val="24"/>
                <w:szCs w:val="24"/>
              </w:rPr>
            </w:pPr>
            <w:r>
              <w:rPr>
                <w:rFonts w:ascii="Times New Roman" w:hAnsi="Times New Roman" w:cs="Times New Roman"/>
                <w:bCs/>
                <w:sz w:val="24"/>
                <w:szCs w:val="24"/>
              </w:rPr>
              <w:t>бизнес форумы и конференции, съезды;</w:t>
            </w:r>
          </w:p>
          <w:p w:rsidR="005F774E" w:rsidRDefault="000F2CF1">
            <w:pPr>
              <w:rPr>
                <w:rFonts w:ascii="Times New Roman" w:hAnsi="Times New Roman" w:cs="Times New Roman"/>
                <w:sz w:val="24"/>
                <w:szCs w:val="24"/>
              </w:rPr>
            </w:pPr>
            <w:r>
              <w:rPr>
                <w:rFonts w:ascii="Times New Roman" w:hAnsi="Times New Roman" w:cs="Times New Roman"/>
                <w:bCs/>
                <w:sz w:val="24"/>
                <w:szCs w:val="24"/>
              </w:rPr>
              <w:t>официальные, протокольные события;</w:t>
            </w:r>
          </w:p>
          <w:p w:rsidR="005F774E" w:rsidRDefault="000F2CF1">
            <w:pPr>
              <w:rPr>
                <w:rFonts w:ascii="Times New Roman" w:hAnsi="Times New Roman" w:cs="Times New Roman"/>
                <w:sz w:val="24"/>
                <w:szCs w:val="24"/>
              </w:rPr>
            </w:pPr>
            <w:r>
              <w:rPr>
                <w:rFonts w:ascii="Times New Roman" w:hAnsi="Times New Roman" w:cs="Times New Roman"/>
                <w:bCs/>
                <w:sz w:val="24"/>
                <w:szCs w:val="24"/>
              </w:rPr>
              <w:t>выставки</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Тип инвестиционного проекта (новое производство/ модернизация действующего производства)</w:t>
            </w:r>
          </w:p>
        </w:tc>
        <w:tc>
          <w:tcPr>
            <w:tcW w:w="7371" w:type="dxa"/>
            <w:gridSpan w:val="3"/>
          </w:tcPr>
          <w:p w:rsidR="005F774E" w:rsidRDefault="000F2CF1">
            <w:pPr>
              <w:tabs>
                <w:tab w:val="left" w:pos="907"/>
              </w:tabs>
              <w:rPr>
                <w:rFonts w:ascii="Times New Roman" w:hAnsi="Times New Roman" w:cs="Times New Roman"/>
                <w:bCs/>
                <w:sz w:val="24"/>
                <w:szCs w:val="24"/>
              </w:rPr>
            </w:pPr>
            <w:r>
              <w:rPr>
                <w:rFonts w:ascii="Times New Roman" w:hAnsi="Times New Roman" w:cs="Times New Roman"/>
                <w:bCs/>
                <w:sz w:val="24"/>
                <w:szCs w:val="24"/>
              </w:rPr>
              <w:t>Новое производство</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Предполагаемые сроки получения исходно-разрешительной документации, необходимой для реализации</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 (дней/мес.) (опционально)</w:t>
            </w:r>
          </w:p>
        </w:tc>
        <w:tc>
          <w:tcPr>
            <w:tcW w:w="7371" w:type="dxa"/>
            <w:gridSpan w:val="3"/>
          </w:tcPr>
          <w:p w:rsidR="005F774E" w:rsidRDefault="000F2CF1">
            <w:pPr>
              <w:jc w:val="both"/>
              <w:rPr>
                <w:rFonts w:ascii="Times New Roman" w:hAnsi="Times New Roman" w:cs="Times New Roman"/>
                <w:b/>
                <w:bCs/>
                <w:sz w:val="24"/>
                <w:szCs w:val="24"/>
              </w:rPr>
            </w:pPr>
            <w:r>
              <w:rPr>
                <w:rFonts w:ascii="Times New Roman" w:hAnsi="Times New Roman" w:cs="Times New Roman"/>
                <w:sz w:val="24"/>
                <w:szCs w:val="24"/>
              </w:rPr>
              <w:t>От 6 до 12 месяцев</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Стадия инвестиционного проекта</w:t>
            </w:r>
          </w:p>
        </w:tc>
        <w:tc>
          <w:tcPr>
            <w:tcW w:w="7371" w:type="dxa"/>
            <w:gridSpan w:val="3"/>
          </w:tcPr>
          <w:p w:rsidR="005F774E" w:rsidRDefault="000F2CF1">
            <w:pPr>
              <w:rPr>
                <w:rFonts w:ascii="Times New Roman" w:hAnsi="Times New Roman" w:cs="Times New Roman"/>
                <w:bCs/>
                <w:sz w:val="24"/>
                <w:szCs w:val="24"/>
              </w:rPr>
            </w:pPr>
            <w:r>
              <w:rPr>
                <w:rFonts w:ascii="Times New Roman" w:hAnsi="Times New Roman" w:cs="Times New Roman"/>
                <w:bCs/>
                <w:sz w:val="24"/>
                <w:szCs w:val="24"/>
              </w:rPr>
              <w:t>Проработанная идея</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Объемы потребления (внутри субъекта Российской Федерации либо за его</w:t>
            </w:r>
          </w:p>
          <w:p w:rsidR="005F774E" w:rsidRDefault="000F2CF1">
            <w:pPr>
              <w:rPr>
                <w:rFonts w:ascii="Times New Roman" w:hAnsi="Times New Roman" w:cs="Times New Roman"/>
                <w:sz w:val="24"/>
                <w:szCs w:val="24"/>
              </w:rPr>
            </w:pPr>
            <w:r>
              <w:rPr>
                <w:rFonts w:ascii="Times New Roman" w:hAnsi="Times New Roman" w:cs="Times New Roman"/>
                <w:sz w:val="24"/>
                <w:szCs w:val="24"/>
              </w:rPr>
              <w:t>пределами) (в денежном эквиваленте)</w:t>
            </w:r>
          </w:p>
        </w:tc>
        <w:tc>
          <w:tcPr>
            <w:tcW w:w="7371" w:type="dxa"/>
            <w:gridSpan w:val="3"/>
          </w:tcPr>
          <w:p w:rsidR="005F774E" w:rsidRDefault="000F2CF1">
            <w:pPr>
              <w:jc w:val="both"/>
              <w:rPr>
                <w:rFonts w:ascii="Times New Roman" w:hAnsi="Times New Roman" w:cs="Times New Roman"/>
                <w:sz w:val="24"/>
                <w:szCs w:val="24"/>
              </w:rPr>
            </w:pPr>
            <w:r>
              <w:rPr>
                <w:rFonts w:ascii="Times New Roman" w:hAnsi="Times New Roman" w:cs="Times New Roman"/>
                <w:sz w:val="24"/>
                <w:szCs w:val="24"/>
              </w:rPr>
              <w:t>-</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Возможность масштабирования и (или)</w:t>
            </w:r>
          </w:p>
          <w:p w:rsidR="005F774E" w:rsidRDefault="000F2CF1">
            <w:pPr>
              <w:rPr>
                <w:rFonts w:ascii="Times New Roman" w:hAnsi="Times New Roman" w:cs="Times New Roman"/>
                <w:sz w:val="24"/>
                <w:szCs w:val="24"/>
              </w:rPr>
            </w:pPr>
            <w:r>
              <w:rPr>
                <w:rFonts w:ascii="Times New Roman" w:hAnsi="Times New Roman" w:cs="Times New Roman"/>
                <w:sz w:val="24"/>
                <w:szCs w:val="24"/>
              </w:rPr>
              <w:t>фрагментации производства</w:t>
            </w:r>
          </w:p>
          <w:p w:rsidR="005F774E" w:rsidRDefault="005F774E">
            <w:pPr>
              <w:rPr>
                <w:rFonts w:ascii="Times New Roman" w:hAnsi="Times New Roman" w:cs="Times New Roman"/>
                <w:sz w:val="24"/>
                <w:szCs w:val="24"/>
              </w:rPr>
            </w:pPr>
          </w:p>
        </w:tc>
        <w:tc>
          <w:tcPr>
            <w:tcW w:w="7371" w:type="dxa"/>
            <w:gridSpan w:val="3"/>
          </w:tcPr>
          <w:p w:rsidR="005F774E" w:rsidRDefault="000F2CF1">
            <w:pPr>
              <w:jc w:val="both"/>
              <w:rPr>
                <w:rFonts w:ascii="Times New Roman" w:hAnsi="Times New Roman" w:cs="Times New Roman"/>
                <w:sz w:val="24"/>
                <w:szCs w:val="24"/>
              </w:rPr>
            </w:pPr>
            <w:r>
              <w:rPr>
                <w:rFonts w:ascii="Times New Roman" w:hAnsi="Times New Roman" w:cs="Times New Roman"/>
                <w:sz w:val="24"/>
                <w:szCs w:val="24"/>
              </w:rPr>
              <w:t xml:space="preserve">В перспективе проект может быть масштабирован для создания аналогичных объектов в других крупных городах автономного округа (Ханты-Мансийск, Нижневартовск, Нефтеюганск). </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Описание характеристик создаваемых или реконструируемых объектов</w:t>
            </w:r>
          </w:p>
        </w:tc>
        <w:tc>
          <w:tcPr>
            <w:tcW w:w="7371" w:type="dxa"/>
            <w:gridSpan w:val="3"/>
          </w:tcPr>
          <w:p w:rsidR="005F774E" w:rsidRDefault="000F2CF1">
            <w:pPr>
              <w:pStyle w:val="Default"/>
              <w:jc w:val="both"/>
            </w:pPr>
            <w:r>
              <w:t>Площадь готового объекта (</w:t>
            </w:r>
            <w:r>
              <w:rPr>
                <w:lang w:val="en-US"/>
              </w:rPr>
              <w:t>GBA</w:t>
            </w:r>
            <w:r>
              <w:t>): 27 000 м</w:t>
            </w:r>
            <w:r>
              <w:rPr>
                <w:vertAlign w:val="superscript"/>
              </w:rPr>
              <w:t>2</w:t>
            </w:r>
            <w:r>
              <w:t>.</w:t>
            </w:r>
          </w:p>
          <w:p w:rsidR="005F774E" w:rsidRDefault="000F2CF1">
            <w:pPr>
              <w:pStyle w:val="Default"/>
              <w:jc w:val="both"/>
            </w:pPr>
            <w:r>
              <w:t>Этажность объекта: 2 этажа.</w:t>
            </w:r>
          </w:p>
          <w:p w:rsidR="005F774E" w:rsidRDefault="000F2CF1">
            <w:pPr>
              <w:pStyle w:val="Default"/>
              <w:jc w:val="both"/>
            </w:pPr>
            <w:r>
              <w:t>Высота объекта: 20 м.</w:t>
            </w:r>
          </w:p>
          <w:p w:rsidR="005F774E" w:rsidRDefault="000F2CF1">
            <w:pPr>
              <w:pStyle w:val="Default"/>
              <w:jc w:val="both"/>
            </w:pPr>
            <w:r>
              <w:t>Мощность (производительность): 6 000 посетителей</w:t>
            </w:r>
          </w:p>
        </w:tc>
      </w:tr>
      <w:tr w:rsidR="005F774E" w:rsidTr="00CD6E68">
        <w:tc>
          <w:tcPr>
            <w:tcW w:w="10768" w:type="dxa"/>
            <w:gridSpan w:val="5"/>
          </w:tcPr>
          <w:p w:rsidR="005F774E" w:rsidRDefault="000F2CF1">
            <w:pPr>
              <w:jc w:val="center"/>
              <w:rPr>
                <w:rFonts w:ascii="Times New Roman" w:hAnsi="Times New Roman" w:cs="Times New Roman"/>
                <w:sz w:val="24"/>
                <w:szCs w:val="24"/>
              </w:rPr>
            </w:pPr>
            <w:r>
              <w:rPr>
                <w:rFonts w:ascii="Times New Roman" w:hAnsi="Times New Roman" w:cs="Times New Roman"/>
                <w:sz w:val="24"/>
                <w:szCs w:val="24"/>
              </w:rPr>
              <w:t>Анализ экономической отрасли инвестиционного проекта и маркетинг</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Краткое описание рынка сбыта планируемой к выпуску</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продукции/оказанию услуги</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КВЦ будет создан на территории инновационного научно-технологического центра федерального масштаба, не имеющего аналогово в Уральском федеральном округе.</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Площадь границ проектирования территории ИНТЦ и объектов деловой и социально-культурной инфраструктуры составляет 67,3 Га.</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Ключевыми объектами территории являются:</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lastRenderedPageBreak/>
              <w:t xml:space="preserve">университетский кампус: университет на 2 000 студентов и до 500 преподавателей, общежития для размещения не менее 1 000 человек; </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технопарк на 1 600 рабочих мест для компаний;</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центр высоких биомедицинских технологий, рассчитанный на 6 лабораторий и 200 оборудованных рабочих мест;</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арендное жилье в виде многоквартирных жилых домов на 1 192 квартиры;</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кварталы многоквартирных жилых домов на 716 квартир;</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медицинская клиника;</w:t>
            </w:r>
          </w:p>
          <w:p w:rsidR="005F774E" w:rsidRDefault="000F2CF1">
            <w:pPr>
              <w:jc w:val="both"/>
              <w:rPr>
                <w:rFonts w:ascii="Times New Roman" w:hAnsi="Times New Roman" w:cs="Times New Roman"/>
                <w:sz w:val="24"/>
                <w:szCs w:val="24"/>
              </w:rPr>
            </w:pPr>
            <w:r>
              <w:rPr>
                <w:rFonts w:ascii="Times New Roman" w:hAnsi="Times New Roman" w:cs="Times New Roman"/>
                <w:bCs/>
                <w:sz w:val="24"/>
                <w:szCs w:val="24"/>
              </w:rPr>
              <w:t>офисы компаний и многофункциональные центры.</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Отличительной чертой территории является ее расположение вдоль реки Обь, в связи с чем планируется организация набережной по принципу променада для круглогодичного отдыха.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Автономный округ отличает высокий уровень деловой и общественной жизни, размещение на территории региона офисов таких крупных компаний, как подразделения ГК Лукойл, Роснефть, </w:t>
            </w:r>
            <w:proofErr w:type="spellStart"/>
            <w:r>
              <w:rPr>
                <w:rFonts w:ascii="Times New Roman" w:hAnsi="Times New Roman" w:cs="Times New Roman"/>
                <w:bCs/>
                <w:sz w:val="24"/>
                <w:szCs w:val="24"/>
              </w:rPr>
              <w:t>Газпромнефть</w:t>
            </w:r>
            <w:proofErr w:type="spellEnd"/>
            <w:r>
              <w:rPr>
                <w:rFonts w:ascii="Times New Roman" w:hAnsi="Times New Roman" w:cs="Times New Roman"/>
                <w:bCs/>
                <w:sz w:val="24"/>
                <w:szCs w:val="24"/>
              </w:rPr>
              <w:t>.</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В настоящее время г. Сургут характеризует дефицит таких объектов, как </w:t>
            </w: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-выставочные центры, а с учетом развития ИНТЦ «ЮНИТИ ПАРК» дефицит будет увеличиваться.</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Учитывая деловую активность автономного округа, планы по развитию территории, нацеленность территории на деловые и научные сообщества, рынок сбыта услуг КВЦ оценивается как емкий.</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Объемы потребления аналогичной продукции/услуг (внутри субъекта Российской Федерации и за его пределами)</w:t>
            </w:r>
          </w:p>
        </w:tc>
        <w:tc>
          <w:tcPr>
            <w:tcW w:w="7371" w:type="dxa"/>
            <w:gridSpan w:val="3"/>
          </w:tcPr>
          <w:p w:rsidR="005F774E" w:rsidRDefault="000F2CF1">
            <w:pPr>
              <w:rPr>
                <w:rFonts w:ascii="Times New Roman" w:hAnsi="Times New Roman" w:cs="Times New Roman"/>
                <w:bCs/>
                <w:sz w:val="24"/>
                <w:szCs w:val="24"/>
              </w:rPr>
            </w:pPr>
            <w:r>
              <w:rPr>
                <w:rFonts w:ascii="Times New Roman" w:hAnsi="Times New Roman" w:cs="Times New Roman"/>
                <w:bCs/>
                <w:sz w:val="24"/>
                <w:szCs w:val="24"/>
              </w:rPr>
              <w:t>-</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Потенциальные потребители</w:t>
            </w:r>
          </w:p>
          <w:p w:rsidR="005F774E" w:rsidRDefault="000F2CF1">
            <w:pPr>
              <w:rPr>
                <w:rFonts w:ascii="Times New Roman" w:hAnsi="Times New Roman" w:cs="Times New Roman"/>
                <w:sz w:val="24"/>
                <w:szCs w:val="24"/>
              </w:rPr>
            </w:pPr>
            <w:r>
              <w:rPr>
                <w:rFonts w:ascii="Times New Roman" w:hAnsi="Times New Roman" w:cs="Times New Roman"/>
                <w:sz w:val="24"/>
                <w:szCs w:val="24"/>
              </w:rPr>
              <w:t>планируемой к выпуску</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продукции/оказываемых услуг</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Научные и образовательные сообщества;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 xml:space="preserve">Крупные предприятия нефтегазовой отрасли </w:t>
            </w:r>
          </w:p>
          <w:p w:rsidR="005F774E" w:rsidRDefault="005F774E">
            <w:pPr>
              <w:jc w:val="both"/>
              <w:rPr>
                <w:rFonts w:ascii="Times New Roman" w:hAnsi="Times New Roman" w:cs="Times New Roman"/>
                <w:b/>
                <w:bCs/>
                <w:sz w:val="24"/>
                <w:szCs w:val="24"/>
              </w:rPr>
            </w:pP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Объемы производства аналогичной</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продукции/оказания услуг внутри субъекта Российской Федерации и на</w:t>
            </w:r>
          </w:p>
          <w:p w:rsidR="005F774E" w:rsidRDefault="000F2CF1">
            <w:pPr>
              <w:rPr>
                <w:rFonts w:ascii="Times New Roman" w:hAnsi="Times New Roman" w:cs="Times New Roman"/>
                <w:sz w:val="24"/>
                <w:szCs w:val="24"/>
              </w:rPr>
            </w:pPr>
            <w:r>
              <w:rPr>
                <w:rFonts w:ascii="Times New Roman" w:hAnsi="Times New Roman" w:cs="Times New Roman"/>
                <w:sz w:val="24"/>
                <w:szCs w:val="24"/>
              </w:rPr>
              <w:t>всей территории Российской Федерации</w:t>
            </w:r>
          </w:p>
        </w:tc>
        <w:tc>
          <w:tcPr>
            <w:tcW w:w="7371" w:type="dxa"/>
            <w:gridSpan w:val="3"/>
          </w:tcPr>
          <w:p w:rsidR="005F774E" w:rsidRDefault="000F2CF1">
            <w:pPr>
              <w:rPr>
                <w:rFonts w:ascii="Times New Roman" w:hAnsi="Times New Roman" w:cs="Times New Roman"/>
                <w:b/>
                <w:bCs/>
                <w:sz w:val="24"/>
                <w:szCs w:val="24"/>
              </w:rPr>
            </w:pPr>
            <w:r>
              <w:rPr>
                <w:rFonts w:ascii="Times New Roman" w:hAnsi="Times New Roman" w:cs="Times New Roman"/>
                <w:bCs/>
                <w:sz w:val="24"/>
                <w:szCs w:val="24"/>
              </w:rPr>
              <w:t>-</w:t>
            </w:r>
          </w:p>
        </w:tc>
      </w:tr>
      <w:tr w:rsidR="005F774E" w:rsidTr="00CD6E68">
        <w:tc>
          <w:tcPr>
            <w:tcW w:w="3397" w:type="dxa"/>
            <w:gridSpan w:val="2"/>
          </w:tcPr>
          <w:p w:rsidR="005F774E" w:rsidRDefault="000F2CF1">
            <w:pPr>
              <w:jc w:val="both"/>
              <w:rPr>
                <w:rFonts w:ascii="Times New Roman" w:hAnsi="Times New Roman" w:cs="Times New Roman"/>
                <w:sz w:val="24"/>
                <w:szCs w:val="24"/>
              </w:rPr>
            </w:pPr>
            <w:r>
              <w:rPr>
                <w:rFonts w:ascii="Times New Roman" w:hAnsi="Times New Roman" w:cs="Times New Roman"/>
                <w:sz w:val="24"/>
                <w:szCs w:val="24"/>
              </w:rPr>
              <w:t>Возможность выстраивания цепочек кооперации с действующими и создаваемыми производствами внутри субъекта Российской Федерации и за его</w:t>
            </w:r>
          </w:p>
          <w:p w:rsidR="005F774E" w:rsidRDefault="000F2CF1">
            <w:pPr>
              <w:jc w:val="both"/>
              <w:rPr>
                <w:rFonts w:ascii="Times New Roman" w:hAnsi="Times New Roman" w:cs="Times New Roman"/>
                <w:sz w:val="24"/>
                <w:szCs w:val="24"/>
              </w:rPr>
            </w:pPr>
            <w:r>
              <w:rPr>
                <w:rFonts w:ascii="Times New Roman" w:hAnsi="Times New Roman" w:cs="Times New Roman"/>
                <w:sz w:val="24"/>
                <w:szCs w:val="24"/>
              </w:rPr>
              <w:t>пределами</w:t>
            </w:r>
          </w:p>
        </w:tc>
        <w:tc>
          <w:tcPr>
            <w:tcW w:w="7371" w:type="dxa"/>
            <w:gridSpan w:val="3"/>
          </w:tcPr>
          <w:p w:rsidR="005F774E" w:rsidRDefault="000F2CF1">
            <w:pPr>
              <w:rPr>
                <w:rFonts w:ascii="Times New Roman" w:hAnsi="Times New Roman" w:cs="Times New Roman"/>
                <w:bCs/>
                <w:sz w:val="24"/>
                <w:szCs w:val="24"/>
              </w:rPr>
            </w:pPr>
            <w:r>
              <w:rPr>
                <w:rFonts w:ascii="Times New Roman" w:hAnsi="Times New Roman" w:cs="Times New Roman"/>
                <w:bCs/>
                <w:sz w:val="24"/>
                <w:szCs w:val="24"/>
              </w:rPr>
              <w:t>Потенциальная кооперация с партнерами:</w:t>
            </w:r>
          </w:p>
          <w:p w:rsidR="005F774E" w:rsidRDefault="000F2CF1">
            <w:pPr>
              <w:rPr>
                <w:rFonts w:ascii="Times New Roman" w:hAnsi="Times New Roman" w:cs="Times New Roman"/>
                <w:sz w:val="24"/>
                <w:szCs w:val="24"/>
              </w:rPr>
            </w:pPr>
            <w:r>
              <w:rPr>
                <w:rFonts w:ascii="Times New Roman" w:hAnsi="Times New Roman" w:cs="Times New Roman"/>
                <w:bCs/>
                <w:sz w:val="24"/>
                <w:szCs w:val="24"/>
              </w:rPr>
              <w:t>участники проекта ИНТЦ «ЮНИТИ ПАРК»;</w:t>
            </w:r>
          </w:p>
          <w:p w:rsidR="005F774E" w:rsidRDefault="000F2CF1">
            <w:pPr>
              <w:rPr>
                <w:rFonts w:ascii="Times New Roman" w:hAnsi="Times New Roman" w:cs="Times New Roman"/>
                <w:sz w:val="24"/>
                <w:szCs w:val="24"/>
              </w:rPr>
            </w:pPr>
            <w:r>
              <w:rPr>
                <w:rFonts w:ascii="Times New Roman" w:hAnsi="Times New Roman" w:cs="Times New Roman"/>
                <w:bCs/>
                <w:sz w:val="24"/>
                <w:szCs w:val="24"/>
              </w:rPr>
              <w:t xml:space="preserve">крупные предприятия нефтегазовой отрасли </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Оценка экспортного потенциала планируемой к выпуску продукции/услуги</w:t>
            </w:r>
          </w:p>
        </w:tc>
        <w:tc>
          <w:tcPr>
            <w:tcW w:w="7371" w:type="dxa"/>
            <w:gridSpan w:val="3"/>
          </w:tcPr>
          <w:p w:rsidR="005F774E" w:rsidRDefault="000F2CF1">
            <w:pPr>
              <w:rPr>
                <w:rFonts w:ascii="Times New Roman" w:hAnsi="Times New Roman" w:cs="Times New Roman"/>
                <w:bCs/>
                <w:sz w:val="24"/>
                <w:szCs w:val="24"/>
              </w:rPr>
            </w:pPr>
            <w:r>
              <w:rPr>
                <w:rFonts w:ascii="Times New Roman" w:hAnsi="Times New Roman" w:cs="Times New Roman"/>
                <w:bCs/>
                <w:sz w:val="24"/>
                <w:szCs w:val="24"/>
              </w:rPr>
              <w:t>Экспорт не предполагается</w:t>
            </w:r>
          </w:p>
        </w:tc>
      </w:tr>
      <w:tr w:rsidR="005F774E" w:rsidTr="00CD6E68">
        <w:tc>
          <w:tcPr>
            <w:tcW w:w="3397"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Конкурентные преимущества субъекта Российской Федерации и территории</w:t>
            </w:r>
          </w:p>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локализации инвестиционного проекта</w:t>
            </w:r>
          </w:p>
        </w:tc>
        <w:tc>
          <w:tcPr>
            <w:tcW w:w="7371" w:type="dxa"/>
            <w:gridSpan w:val="3"/>
          </w:tcPr>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lastRenderedPageBreak/>
              <w:t>Регион и район с высокой деловой активностью, высокими показателями экономики;</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lastRenderedPageBreak/>
              <w:t>г. Сургут является первым по размерам и экономической и деловой активности городом региона;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Наличие спроса в районе реализации проекта;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Стабильность инвестиционного законодательства;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Эффективные меры поддержки инвестиционной и предпринимательской деятельности;</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Высокоразвитая инвестиционная инфраструктура;</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Высокий промышленный потенциал;</w:t>
            </w:r>
          </w:p>
          <w:p w:rsidR="005F774E" w:rsidRDefault="000F2CF1">
            <w:pPr>
              <w:jc w:val="both"/>
              <w:rPr>
                <w:rFonts w:ascii="Times New Roman" w:hAnsi="Times New Roman" w:cs="Times New Roman"/>
                <w:bCs/>
                <w:sz w:val="24"/>
                <w:szCs w:val="24"/>
              </w:rPr>
            </w:pPr>
            <w:r>
              <w:rPr>
                <w:rFonts w:ascii="Times New Roman" w:hAnsi="Times New Roman" w:cs="Times New Roman"/>
                <w:bCs/>
                <w:sz w:val="24"/>
                <w:szCs w:val="24"/>
              </w:rPr>
              <w:t>Высокий спрос населения на качественные и высокотехнологичные услуги.</w:t>
            </w:r>
          </w:p>
        </w:tc>
      </w:tr>
      <w:tr w:rsidR="005F774E" w:rsidTr="00CD6E68">
        <w:tc>
          <w:tcPr>
            <w:tcW w:w="10768" w:type="dxa"/>
            <w:gridSpan w:val="5"/>
          </w:tcPr>
          <w:p w:rsidR="005F774E" w:rsidRDefault="000F2CF1">
            <w:pPr>
              <w:jc w:val="center"/>
              <w:rPr>
                <w:rFonts w:ascii="Times New Roman" w:hAnsi="Times New Roman" w:cs="Times New Roman"/>
                <w:sz w:val="24"/>
                <w:szCs w:val="24"/>
              </w:rPr>
            </w:pPr>
            <w:r>
              <w:rPr>
                <w:rFonts w:ascii="Times New Roman" w:hAnsi="Times New Roman" w:cs="Times New Roman"/>
                <w:sz w:val="24"/>
                <w:szCs w:val="24"/>
              </w:rPr>
              <w:lastRenderedPageBreak/>
              <w:t>Анализ сырьевого обеспечения инвестиционного проекта</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Уровень и качество сырьевого</w:t>
            </w:r>
          </w:p>
          <w:p w:rsidR="005F774E" w:rsidRDefault="000F2CF1">
            <w:pPr>
              <w:rPr>
                <w:rFonts w:ascii="Times New Roman" w:hAnsi="Times New Roman" w:cs="Times New Roman"/>
                <w:sz w:val="24"/>
                <w:szCs w:val="24"/>
              </w:rPr>
            </w:pPr>
            <w:r>
              <w:rPr>
                <w:rFonts w:ascii="Times New Roman" w:hAnsi="Times New Roman" w:cs="Times New Roman"/>
                <w:sz w:val="24"/>
                <w:szCs w:val="24"/>
              </w:rPr>
              <w:t>обеспечения инвестиционного проекта, в</w:t>
            </w:r>
          </w:p>
          <w:p w:rsidR="005F774E" w:rsidRDefault="000F2CF1">
            <w:pPr>
              <w:rPr>
                <w:rFonts w:ascii="Times New Roman" w:hAnsi="Times New Roman" w:cs="Times New Roman"/>
                <w:sz w:val="24"/>
                <w:szCs w:val="24"/>
              </w:rPr>
            </w:pPr>
            <w:r>
              <w:rPr>
                <w:rFonts w:ascii="Times New Roman" w:hAnsi="Times New Roman" w:cs="Times New Roman"/>
                <w:sz w:val="24"/>
                <w:szCs w:val="24"/>
              </w:rPr>
              <w:t>том числе за счет:</w:t>
            </w:r>
          </w:p>
          <w:p w:rsidR="005F774E" w:rsidRDefault="000F2CF1">
            <w:pPr>
              <w:rPr>
                <w:rFonts w:ascii="Times New Roman" w:hAnsi="Times New Roman" w:cs="Times New Roman"/>
                <w:sz w:val="24"/>
                <w:szCs w:val="24"/>
              </w:rPr>
            </w:pPr>
            <w:r>
              <w:rPr>
                <w:rFonts w:ascii="Times New Roman" w:hAnsi="Times New Roman" w:cs="Times New Roman"/>
                <w:sz w:val="24"/>
                <w:szCs w:val="24"/>
              </w:rPr>
              <w:t>- существующих мощностей в субъекте</w:t>
            </w:r>
          </w:p>
          <w:p w:rsidR="005F774E" w:rsidRDefault="000F2CF1">
            <w:pPr>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5F774E" w:rsidRDefault="000F2CF1">
            <w:pPr>
              <w:rPr>
                <w:rFonts w:ascii="Times New Roman" w:hAnsi="Times New Roman" w:cs="Times New Roman"/>
                <w:sz w:val="24"/>
                <w:szCs w:val="24"/>
              </w:rPr>
            </w:pPr>
            <w:r>
              <w:rPr>
                <w:rFonts w:ascii="Times New Roman" w:hAnsi="Times New Roman" w:cs="Times New Roman"/>
                <w:sz w:val="24"/>
                <w:szCs w:val="24"/>
              </w:rPr>
              <w:t>- внутреннего рынка 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 (с учетом логистических</w:t>
            </w:r>
          </w:p>
          <w:p w:rsidR="005F774E" w:rsidRDefault="000F2CF1">
            <w:pPr>
              <w:rPr>
                <w:rFonts w:ascii="Times New Roman" w:hAnsi="Times New Roman" w:cs="Times New Roman"/>
                <w:sz w:val="24"/>
                <w:szCs w:val="24"/>
              </w:rPr>
            </w:pPr>
            <w:r>
              <w:rPr>
                <w:rFonts w:ascii="Times New Roman" w:hAnsi="Times New Roman" w:cs="Times New Roman"/>
                <w:sz w:val="24"/>
                <w:szCs w:val="24"/>
              </w:rPr>
              <w:t>возможностей субъекта 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w:t>
            </w:r>
          </w:p>
          <w:p w:rsidR="005F774E" w:rsidRDefault="000F2CF1">
            <w:pPr>
              <w:rPr>
                <w:rFonts w:ascii="Times New Roman" w:hAnsi="Times New Roman" w:cs="Times New Roman"/>
                <w:sz w:val="24"/>
                <w:szCs w:val="24"/>
              </w:rPr>
            </w:pPr>
            <w:r>
              <w:rPr>
                <w:rFonts w:ascii="Times New Roman" w:hAnsi="Times New Roman" w:cs="Times New Roman"/>
                <w:sz w:val="24"/>
                <w:szCs w:val="24"/>
              </w:rPr>
              <w:t>- импорта из других государств</w:t>
            </w:r>
          </w:p>
        </w:tc>
        <w:tc>
          <w:tcPr>
            <w:tcW w:w="6025" w:type="dxa"/>
            <w:gridSpan w:val="2"/>
          </w:tcPr>
          <w:p w:rsidR="005F774E" w:rsidRDefault="000F2CF1">
            <w:pPr>
              <w:rPr>
                <w:rFonts w:ascii="Times New Roman" w:hAnsi="Times New Roman" w:cs="Times New Roman"/>
                <w:b/>
                <w:bCs/>
                <w:sz w:val="24"/>
                <w:szCs w:val="24"/>
              </w:rPr>
            </w:pPr>
            <w:r>
              <w:rPr>
                <w:rFonts w:ascii="Times New Roman" w:hAnsi="Times New Roman" w:cs="Times New Roman"/>
                <w:bCs/>
                <w:sz w:val="24"/>
                <w:szCs w:val="24"/>
              </w:rPr>
              <w:t>-</w:t>
            </w:r>
          </w:p>
        </w:tc>
      </w:tr>
      <w:tr w:rsidR="005F774E" w:rsidTr="00CD6E68">
        <w:tc>
          <w:tcPr>
            <w:tcW w:w="10768" w:type="dxa"/>
            <w:gridSpan w:val="5"/>
          </w:tcPr>
          <w:p w:rsidR="005F774E" w:rsidRDefault="000F2CF1">
            <w:pPr>
              <w:jc w:val="center"/>
              <w:rPr>
                <w:rFonts w:ascii="Times New Roman" w:hAnsi="Times New Roman" w:cs="Times New Roman"/>
                <w:sz w:val="24"/>
                <w:szCs w:val="24"/>
              </w:rPr>
            </w:pPr>
            <w:r>
              <w:rPr>
                <w:rFonts w:ascii="Times New Roman" w:hAnsi="Times New Roman" w:cs="Times New Roman"/>
                <w:sz w:val="24"/>
                <w:szCs w:val="24"/>
              </w:rPr>
              <w:t>Локализация инвестиционного проекта</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Кадастровый номер и (или) координаты</w:t>
            </w:r>
          </w:p>
          <w:p w:rsidR="005F774E" w:rsidRDefault="000F2CF1">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025" w:type="dxa"/>
            <w:gridSpan w:val="2"/>
          </w:tcPr>
          <w:p w:rsidR="005F774E" w:rsidRDefault="000F2CF1">
            <w:pPr>
              <w:rPr>
                <w:rFonts w:ascii="Times New Roman" w:hAnsi="Times New Roman" w:cs="Times New Roman"/>
                <w:b/>
                <w:bCs/>
                <w:sz w:val="24"/>
                <w:szCs w:val="24"/>
              </w:rPr>
            </w:pPr>
            <w:r>
              <w:rPr>
                <w:rFonts w:ascii="Times New Roman" w:hAnsi="Times New Roman" w:cs="Times New Roman"/>
                <w:sz w:val="24"/>
                <w:szCs w:val="24"/>
              </w:rPr>
              <w:t>86:10:0101176:2509</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Форма собственности на земельный</w:t>
            </w:r>
          </w:p>
          <w:p w:rsidR="005F774E" w:rsidRDefault="000F2CF1">
            <w:pPr>
              <w:rPr>
                <w:rFonts w:ascii="Times New Roman" w:hAnsi="Times New Roman" w:cs="Times New Roman"/>
                <w:sz w:val="24"/>
                <w:szCs w:val="24"/>
              </w:rPr>
            </w:pPr>
            <w:r>
              <w:rPr>
                <w:rFonts w:ascii="Times New Roman" w:hAnsi="Times New Roman" w:cs="Times New Roman"/>
                <w:sz w:val="24"/>
                <w:szCs w:val="24"/>
              </w:rPr>
              <w:t>участок</w:t>
            </w:r>
          </w:p>
        </w:tc>
        <w:tc>
          <w:tcPr>
            <w:tcW w:w="6025" w:type="dxa"/>
            <w:gridSpan w:val="2"/>
          </w:tcPr>
          <w:p w:rsidR="005F774E" w:rsidRDefault="000F2CF1">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Собственность публично-правовых образований</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Предполагаемый тип сделки</w:t>
            </w:r>
          </w:p>
          <w:p w:rsidR="005F774E" w:rsidRDefault="000F2CF1">
            <w:pPr>
              <w:rPr>
                <w:rFonts w:ascii="Times New Roman" w:hAnsi="Times New Roman" w:cs="Times New Roman"/>
                <w:sz w:val="24"/>
                <w:szCs w:val="24"/>
              </w:rPr>
            </w:pPr>
            <w:r>
              <w:rPr>
                <w:rFonts w:ascii="Times New Roman" w:hAnsi="Times New Roman" w:cs="Times New Roman"/>
                <w:sz w:val="24"/>
                <w:szCs w:val="24"/>
              </w:rPr>
              <w:t>с земельным участком</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Аренда через аукцион</w:t>
            </w:r>
          </w:p>
          <w:p w:rsidR="005F774E" w:rsidRDefault="000F2CF1">
            <w:pPr>
              <w:rPr>
                <w:rFonts w:ascii="Times New Roman" w:hAnsi="Times New Roman" w:cs="Times New Roman"/>
                <w:b/>
                <w:bCs/>
                <w:sz w:val="24"/>
                <w:szCs w:val="24"/>
              </w:rPr>
            </w:pPr>
            <w:r>
              <w:rPr>
                <w:rFonts w:ascii="Times New Roman" w:hAnsi="Times New Roman" w:cs="Times New Roman"/>
                <w:sz w:val="24"/>
                <w:szCs w:val="24"/>
              </w:rPr>
              <w:t>Аренда без проведения торгов (аукциона) путем заключения Соглашения о реализации масштабного инвестиционного проекта</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Площадь земельного участка (в кв. м.)</w:t>
            </w:r>
          </w:p>
        </w:tc>
        <w:tc>
          <w:tcPr>
            <w:tcW w:w="6025" w:type="dxa"/>
            <w:gridSpan w:val="2"/>
          </w:tcPr>
          <w:p w:rsidR="005F774E" w:rsidRDefault="000F2CF1">
            <w:pPr>
              <w:rPr>
                <w:rFonts w:ascii="Times New Roman" w:hAnsi="Times New Roman" w:cs="Times New Roman"/>
                <w:b/>
                <w:bCs/>
                <w:sz w:val="24"/>
                <w:szCs w:val="24"/>
              </w:rPr>
            </w:pPr>
            <w:r>
              <w:rPr>
                <w:rFonts w:ascii="Times New Roman" w:hAnsi="Times New Roman" w:cs="Times New Roman"/>
                <w:sz w:val="24"/>
                <w:szCs w:val="24"/>
              </w:rPr>
              <w:t>3,9 Га</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Категория земельного участка</w:t>
            </w:r>
          </w:p>
        </w:tc>
        <w:tc>
          <w:tcPr>
            <w:tcW w:w="6025" w:type="dxa"/>
            <w:gridSpan w:val="2"/>
          </w:tcPr>
          <w:p w:rsidR="005F774E" w:rsidRDefault="000F2CF1">
            <w:pPr>
              <w:rPr>
                <w:rFonts w:ascii="Times New Roman" w:hAnsi="Times New Roman" w:cs="Times New Roman"/>
                <w:b/>
                <w:bCs/>
                <w:sz w:val="24"/>
                <w:szCs w:val="24"/>
              </w:rPr>
            </w:pPr>
            <w:r>
              <w:rPr>
                <w:rFonts w:ascii="Times New Roman" w:hAnsi="Times New Roman" w:cs="Times New Roman"/>
                <w:sz w:val="24"/>
                <w:szCs w:val="24"/>
              </w:rPr>
              <w:t>Земли населенных пунктов</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rsidR="005F774E" w:rsidRDefault="000F2CF1">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025" w:type="dxa"/>
            <w:gridSpan w:val="2"/>
          </w:tcPr>
          <w:p w:rsidR="005F774E" w:rsidRDefault="000F2CF1">
            <w:pPr>
              <w:rPr>
                <w:rFonts w:ascii="Times New Roman" w:hAnsi="Times New Roman" w:cs="Times New Roman"/>
                <w:b/>
                <w:bCs/>
                <w:sz w:val="24"/>
                <w:szCs w:val="24"/>
                <w:highlight w:val="white"/>
              </w:rPr>
            </w:pPr>
            <w:r>
              <w:rPr>
                <w:rFonts w:ascii="Times New Roman" w:hAnsi="Times New Roman" w:cs="Times New Roman"/>
                <w:color w:val="000000"/>
                <w:sz w:val="24"/>
                <w:szCs w:val="24"/>
                <w:highlight w:val="white"/>
                <w:shd w:val="clear" w:color="auto" w:fill="F8F9FA"/>
              </w:rPr>
              <w:t>Объекты культурно-досуговой деятельности</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Наличие преференциального режима</w:t>
            </w:r>
          </w:p>
        </w:tc>
        <w:tc>
          <w:tcPr>
            <w:tcW w:w="6025" w:type="dxa"/>
            <w:gridSpan w:val="2"/>
          </w:tcPr>
          <w:p w:rsidR="005F774E" w:rsidRDefault="000F2CF1">
            <w:pPr>
              <w:rPr>
                <w:rFonts w:ascii="Times New Roman" w:hAnsi="Times New Roman" w:cs="Times New Roman"/>
                <w:bCs/>
                <w:sz w:val="24"/>
                <w:szCs w:val="24"/>
              </w:rPr>
            </w:pPr>
            <w:r>
              <w:rPr>
                <w:rFonts w:ascii="Times New Roman" w:hAnsi="Times New Roman" w:cs="Times New Roman"/>
                <w:sz w:val="24"/>
                <w:szCs w:val="24"/>
              </w:rPr>
              <w:t>Отсутствует</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Льготы в отношении земельного участка</w:t>
            </w:r>
          </w:p>
        </w:tc>
        <w:tc>
          <w:tcPr>
            <w:tcW w:w="2311" w:type="dxa"/>
            <w:tcBorders>
              <w:right w:val="single" w:sz="4" w:space="0" w:color="auto"/>
            </w:tcBorders>
          </w:tcPr>
          <w:p w:rsidR="005F774E" w:rsidRDefault="000F2CF1">
            <w:pPr>
              <w:rPr>
                <w:rFonts w:ascii="Times New Roman" w:hAnsi="Times New Roman" w:cs="Times New Roman"/>
                <w:b/>
                <w:bCs/>
                <w:sz w:val="24"/>
                <w:szCs w:val="24"/>
              </w:rPr>
            </w:pPr>
            <w:r>
              <w:rPr>
                <w:rFonts w:ascii="Times New Roman" w:hAnsi="Times New Roman" w:cs="Times New Roman"/>
                <w:sz w:val="24"/>
                <w:szCs w:val="24"/>
              </w:rPr>
              <w:t>Без льгот</w:t>
            </w:r>
          </w:p>
        </w:tc>
        <w:tc>
          <w:tcPr>
            <w:tcW w:w="3714" w:type="dxa"/>
            <w:tcBorders>
              <w:left w:val="single" w:sz="4" w:space="0" w:color="auto"/>
            </w:tcBorders>
          </w:tcPr>
          <w:p w:rsidR="005F774E" w:rsidRDefault="005F774E">
            <w:pPr>
              <w:rPr>
                <w:rFonts w:ascii="Times New Roman" w:hAnsi="Times New Roman" w:cs="Times New Roman"/>
                <w:b/>
                <w:bCs/>
                <w:sz w:val="24"/>
                <w:szCs w:val="24"/>
              </w:rPr>
            </w:pPr>
          </w:p>
        </w:tc>
      </w:tr>
      <w:tr w:rsidR="005F774E" w:rsidTr="00CD6E68">
        <w:trPr>
          <w:trHeight w:val="556"/>
        </w:trPr>
        <w:tc>
          <w:tcPr>
            <w:tcW w:w="4743" w:type="dxa"/>
            <w:gridSpan w:val="3"/>
            <w:vMerge w:val="restart"/>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Дополнительная информация о земельном участке и (или) об объектах недвижимого имущества на земельном участке</w:t>
            </w:r>
          </w:p>
          <w:p w:rsidR="005F774E" w:rsidRDefault="005F774E">
            <w:pPr>
              <w:rPr>
                <w:rFonts w:ascii="Times New Roman" w:hAnsi="Times New Roman" w:cs="Times New Roman"/>
                <w:sz w:val="24"/>
                <w:szCs w:val="24"/>
                <w:highlight w:val="white"/>
              </w:rPr>
            </w:pPr>
          </w:p>
        </w:tc>
        <w:tc>
          <w:tcPr>
            <w:tcW w:w="6025" w:type="dxa"/>
            <w:gridSpan w:val="2"/>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Мощность инженерной инфраструктуры,</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имеющейся на земельном участке</w:t>
            </w:r>
          </w:p>
        </w:tc>
      </w:tr>
      <w:tr w:rsidR="005F774E" w:rsidTr="00CD6E68">
        <w:trPr>
          <w:trHeight w:val="556"/>
        </w:trPr>
        <w:tc>
          <w:tcPr>
            <w:tcW w:w="4743" w:type="dxa"/>
            <w:gridSpan w:val="3"/>
            <w:vMerge/>
          </w:tcPr>
          <w:p w:rsidR="005F774E" w:rsidRDefault="005F774E">
            <w:pPr>
              <w:rPr>
                <w:rFonts w:ascii="Times New Roman" w:hAnsi="Times New Roman" w:cs="Times New Roman"/>
                <w:sz w:val="24"/>
                <w:szCs w:val="24"/>
              </w:rPr>
            </w:pPr>
          </w:p>
        </w:tc>
        <w:tc>
          <w:tcPr>
            <w:tcW w:w="2311" w:type="dxa"/>
            <w:tcBorders>
              <w:right w:val="single" w:sz="4" w:space="0" w:color="auto"/>
            </w:tcBorders>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Электроэнергия,</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МВт</w:t>
            </w:r>
          </w:p>
        </w:tc>
        <w:tc>
          <w:tcPr>
            <w:tcW w:w="3714" w:type="dxa"/>
            <w:tcBorders>
              <w:left w:val="single" w:sz="4" w:space="0" w:color="auto"/>
            </w:tcBorders>
          </w:tcPr>
          <w:p w:rsidR="005F774E" w:rsidRDefault="005F774E">
            <w:pPr>
              <w:rPr>
                <w:rFonts w:ascii="Times New Roman" w:hAnsi="Times New Roman" w:cs="Times New Roman"/>
                <w:sz w:val="24"/>
                <w:szCs w:val="24"/>
                <w:highlight w:val="white"/>
              </w:rPr>
            </w:pPr>
          </w:p>
        </w:tc>
      </w:tr>
      <w:tr w:rsidR="005F774E" w:rsidTr="00CD6E68">
        <w:tc>
          <w:tcPr>
            <w:tcW w:w="4743" w:type="dxa"/>
            <w:gridSpan w:val="3"/>
            <w:vMerge/>
          </w:tcPr>
          <w:p w:rsidR="005F774E" w:rsidRDefault="005F774E">
            <w:pPr>
              <w:rPr>
                <w:rFonts w:ascii="Times New Roman" w:hAnsi="Times New Roman" w:cs="Times New Roman"/>
                <w:sz w:val="24"/>
                <w:szCs w:val="24"/>
              </w:rPr>
            </w:pPr>
          </w:p>
        </w:tc>
        <w:tc>
          <w:tcPr>
            <w:tcW w:w="2311" w:type="dxa"/>
            <w:tcBorders>
              <w:right w:val="single" w:sz="4" w:space="0" w:color="auto"/>
            </w:tcBorders>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Водоотведение,</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м3/час</w:t>
            </w:r>
          </w:p>
        </w:tc>
        <w:tc>
          <w:tcPr>
            <w:tcW w:w="3714" w:type="dxa"/>
            <w:tcBorders>
              <w:left w:val="single" w:sz="4" w:space="0" w:color="auto"/>
            </w:tcBorders>
          </w:tcPr>
          <w:p w:rsidR="005F774E" w:rsidRDefault="005F774E">
            <w:pPr>
              <w:rPr>
                <w:rFonts w:ascii="Times New Roman" w:hAnsi="Times New Roman" w:cs="Times New Roman"/>
                <w:sz w:val="24"/>
                <w:szCs w:val="24"/>
                <w:highlight w:val="white"/>
              </w:rPr>
            </w:pPr>
          </w:p>
        </w:tc>
      </w:tr>
      <w:tr w:rsidR="005F774E" w:rsidTr="00CD6E68">
        <w:tc>
          <w:tcPr>
            <w:tcW w:w="4743" w:type="dxa"/>
            <w:gridSpan w:val="3"/>
            <w:vMerge/>
          </w:tcPr>
          <w:p w:rsidR="005F774E" w:rsidRDefault="005F774E">
            <w:pPr>
              <w:rPr>
                <w:rFonts w:ascii="Times New Roman" w:hAnsi="Times New Roman" w:cs="Times New Roman"/>
                <w:sz w:val="24"/>
                <w:szCs w:val="24"/>
              </w:rPr>
            </w:pPr>
          </w:p>
        </w:tc>
        <w:tc>
          <w:tcPr>
            <w:tcW w:w="2311" w:type="dxa"/>
            <w:tcBorders>
              <w:right w:val="single" w:sz="4" w:space="0" w:color="auto"/>
            </w:tcBorders>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Наличие ж/д</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ветки на</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земельном</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участке или</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возможность</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присоединения не</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более 1 км</w:t>
            </w:r>
          </w:p>
        </w:tc>
        <w:tc>
          <w:tcPr>
            <w:tcW w:w="3714" w:type="dxa"/>
            <w:tcBorders>
              <w:left w:val="single" w:sz="4" w:space="0" w:color="auto"/>
            </w:tcBorders>
          </w:tcPr>
          <w:p w:rsidR="005F774E" w:rsidRDefault="000F2CF1">
            <w:pPr>
              <w:rPr>
                <w:rFonts w:ascii="Times New Roman" w:hAnsi="Times New Roman" w:cs="Times New Roman"/>
                <w:b/>
                <w:bCs/>
                <w:sz w:val="24"/>
                <w:szCs w:val="24"/>
                <w:highlight w:val="white"/>
              </w:rPr>
            </w:pPr>
            <w:r>
              <w:rPr>
                <w:rFonts w:ascii="Times New Roman" w:hAnsi="Times New Roman" w:cs="Times New Roman"/>
                <w:sz w:val="24"/>
                <w:szCs w:val="24"/>
                <w:highlight w:val="white"/>
              </w:rPr>
              <w:t>отсутствует</w:t>
            </w:r>
            <w:r>
              <w:rPr>
                <w:rFonts w:ascii="Times New Roman" w:hAnsi="Times New Roman" w:cs="Times New Roman"/>
                <w:b/>
                <w:bCs/>
                <w:sz w:val="24"/>
                <w:szCs w:val="24"/>
                <w:highlight w:val="white"/>
              </w:rPr>
              <w:t xml:space="preserve"> </w:t>
            </w:r>
          </w:p>
          <w:p w:rsidR="005F774E" w:rsidRDefault="005F774E">
            <w:pPr>
              <w:rPr>
                <w:rFonts w:ascii="Times New Roman" w:hAnsi="Times New Roman" w:cs="Times New Roman"/>
                <w:b/>
                <w:bCs/>
                <w:sz w:val="24"/>
                <w:szCs w:val="24"/>
                <w:highlight w:val="white"/>
              </w:rPr>
            </w:pPr>
          </w:p>
          <w:p w:rsidR="005F774E" w:rsidRDefault="005F774E">
            <w:pPr>
              <w:rPr>
                <w:rFonts w:ascii="Times New Roman" w:hAnsi="Times New Roman" w:cs="Times New Roman"/>
                <w:b/>
                <w:bCs/>
                <w:sz w:val="24"/>
                <w:szCs w:val="24"/>
                <w:highlight w:val="white"/>
              </w:rPr>
            </w:pPr>
          </w:p>
          <w:p w:rsidR="005F774E" w:rsidRDefault="005F774E">
            <w:pPr>
              <w:rPr>
                <w:rFonts w:ascii="Times New Roman" w:hAnsi="Times New Roman" w:cs="Times New Roman"/>
                <w:b/>
                <w:bCs/>
                <w:sz w:val="24"/>
                <w:szCs w:val="24"/>
                <w:highlight w:val="white"/>
              </w:rPr>
            </w:pPr>
          </w:p>
          <w:p w:rsidR="005F774E" w:rsidRDefault="005F774E">
            <w:pPr>
              <w:rPr>
                <w:rFonts w:ascii="Times New Roman" w:hAnsi="Times New Roman" w:cs="Times New Roman"/>
                <w:b/>
                <w:bCs/>
                <w:sz w:val="24"/>
                <w:szCs w:val="24"/>
                <w:highlight w:val="white"/>
              </w:rPr>
            </w:pPr>
          </w:p>
          <w:p w:rsidR="005F774E" w:rsidRDefault="005F774E">
            <w:pPr>
              <w:rPr>
                <w:rFonts w:ascii="Times New Roman" w:hAnsi="Times New Roman" w:cs="Times New Roman"/>
                <w:b/>
                <w:bCs/>
                <w:sz w:val="24"/>
                <w:szCs w:val="24"/>
                <w:highlight w:val="white"/>
              </w:rPr>
            </w:pPr>
          </w:p>
        </w:tc>
      </w:tr>
      <w:tr w:rsidR="005F774E" w:rsidTr="00CD6E68">
        <w:tc>
          <w:tcPr>
            <w:tcW w:w="4743" w:type="dxa"/>
            <w:gridSpan w:val="3"/>
            <w:vMerge/>
          </w:tcPr>
          <w:p w:rsidR="005F774E" w:rsidRDefault="005F774E">
            <w:pPr>
              <w:rPr>
                <w:rFonts w:ascii="Times New Roman" w:hAnsi="Times New Roman" w:cs="Times New Roman"/>
                <w:sz w:val="24"/>
                <w:szCs w:val="24"/>
              </w:rPr>
            </w:pPr>
          </w:p>
        </w:tc>
        <w:tc>
          <w:tcPr>
            <w:tcW w:w="2311" w:type="dxa"/>
            <w:tcBorders>
              <w:right w:val="single" w:sz="4" w:space="0" w:color="auto"/>
            </w:tcBorders>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Ближайшая</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федеральная</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трасса (тип</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трассы и</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расстояние до</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трассы)</w:t>
            </w:r>
          </w:p>
        </w:tc>
        <w:tc>
          <w:tcPr>
            <w:tcW w:w="3714" w:type="dxa"/>
            <w:tcBorders>
              <w:left w:val="single" w:sz="4" w:space="0" w:color="auto"/>
            </w:tcBorders>
          </w:tcPr>
          <w:p w:rsidR="005F774E" w:rsidRDefault="000F2CF1">
            <w:pPr>
              <w:jc w:val="both"/>
              <w:rPr>
                <w:rFonts w:ascii="Times New Roman" w:hAnsi="Times New Roman" w:cs="Times New Roman"/>
                <w:b/>
                <w:bCs/>
                <w:sz w:val="24"/>
                <w:szCs w:val="24"/>
                <w:highlight w:val="white"/>
              </w:rPr>
            </w:pPr>
            <w:r>
              <w:rPr>
                <w:rFonts w:ascii="Times New Roman" w:hAnsi="Times New Roman" w:cs="Times New Roman"/>
                <w:sz w:val="24"/>
                <w:szCs w:val="24"/>
                <w:highlight w:val="white"/>
              </w:rPr>
              <w:lastRenderedPageBreak/>
              <w:t xml:space="preserve">КВЦ запроектирован на въезде на территорию ИНТЦ, вблизи </w:t>
            </w:r>
            <w:r>
              <w:rPr>
                <w:rFonts w:ascii="Times New Roman" w:hAnsi="Times New Roman" w:cs="Times New Roman"/>
                <w:sz w:val="24"/>
                <w:szCs w:val="24"/>
                <w:highlight w:val="white"/>
              </w:rPr>
              <w:lastRenderedPageBreak/>
              <w:t xml:space="preserve">существующей инфраструктуры торгового центра и ледового дворца, в максимальной транспортной доступности и связанности с </w:t>
            </w:r>
            <w:r>
              <w:rPr>
                <w:rFonts w:ascii="Times New Roman" w:hAnsi="Times New Roman" w:cs="Times New Roman"/>
                <w:sz w:val="24"/>
                <w:szCs w:val="24"/>
                <w:highlight w:val="white"/>
              </w:rPr>
              <w:br/>
              <w:t>г. Сургутом.</w:t>
            </w:r>
          </w:p>
        </w:tc>
      </w:tr>
      <w:tr w:rsidR="005F774E" w:rsidTr="00CD6E68">
        <w:tc>
          <w:tcPr>
            <w:tcW w:w="4743" w:type="dxa"/>
            <w:gridSpan w:val="3"/>
            <w:tcBorders>
              <w:top w:val="single" w:sz="4" w:space="0" w:color="auto"/>
            </w:tcBorders>
          </w:tcPr>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Возможность подключения к</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инженерной инфраструктуре, включая</w:t>
            </w:r>
          </w:p>
          <w:p w:rsidR="005F774E" w:rsidRDefault="000F2CF1">
            <w:pPr>
              <w:rPr>
                <w:rFonts w:ascii="Times New Roman" w:hAnsi="Times New Roman" w:cs="Times New Roman"/>
                <w:sz w:val="24"/>
                <w:szCs w:val="24"/>
                <w:highlight w:val="white"/>
              </w:rPr>
            </w:pPr>
            <w:r>
              <w:rPr>
                <w:rFonts w:ascii="Times New Roman" w:hAnsi="Times New Roman" w:cs="Times New Roman"/>
                <w:sz w:val="24"/>
                <w:szCs w:val="24"/>
                <w:highlight w:val="white"/>
              </w:rPr>
              <w:t>прогнозируемые сроки и стоимость</w:t>
            </w:r>
          </w:p>
        </w:tc>
        <w:tc>
          <w:tcPr>
            <w:tcW w:w="6025" w:type="dxa"/>
            <w:gridSpan w:val="2"/>
          </w:tcPr>
          <w:p w:rsidR="005F774E" w:rsidRDefault="000F2CF1">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Электроснабжение</w:t>
            </w:r>
          </w:p>
          <w:p w:rsidR="005F774E" w:rsidRDefault="000F2CF1">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Подключение объекта будет предусмотрено от внутриквартальных сетей электроснабжения.</w:t>
            </w:r>
          </w:p>
          <w:p w:rsidR="005F774E" w:rsidRDefault="000F2CF1">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Водоотведение</w:t>
            </w:r>
          </w:p>
          <w:p w:rsidR="005F774E" w:rsidRDefault="000F2CF1">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5F774E" w:rsidRDefault="000F2CF1">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Водоснабжение </w:t>
            </w:r>
          </w:p>
          <w:p w:rsidR="005F774E" w:rsidRDefault="000F2CF1">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5F774E" w:rsidRDefault="000F2CF1">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Теплоснабжение</w:t>
            </w:r>
          </w:p>
          <w:p w:rsidR="005F774E" w:rsidRDefault="000F2CF1">
            <w:pPr>
              <w:jc w:val="both"/>
              <w:rPr>
                <w:rFonts w:ascii="Times New Roman" w:hAnsi="Times New Roman" w:cs="Times New Roman"/>
                <w:b/>
                <w:sz w:val="24"/>
                <w:szCs w:val="24"/>
                <w:highlight w:val="white"/>
              </w:rPr>
            </w:pPr>
            <w:r>
              <w:rPr>
                <w:rFonts w:ascii="Times New Roman" w:hAnsi="Times New Roman" w:cs="Times New Roman"/>
                <w:sz w:val="24"/>
                <w:szCs w:val="24"/>
                <w:highlight w:val="white"/>
              </w:rPr>
              <w:t>Технологическая возможность подключения к централизованным сетям теплоснабжения предусмотрена.</w:t>
            </w:r>
          </w:p>
        </w:tc>
      </w:tr>
      <w:tr w:rsidR="005F774E" w:rsidTr="00CD6E68">
        <w:tc>
          <w:tcPr>
            <w:tcW w:w="10768" w:type="dxa"/>
            <w:gridSpan w:val="5"/>
          </w:tcPr>
          <w:p w:rsidR="005F774E" w:rsidRDefault="000F2CF1">
            <w:pPr>
              <w:jc w:val="center"/>
              <w:rPr>
                <w:rFonts w:ascii="Times New Roman" w:hAnsi="Times New Roman" w:cs="Times New Roman"/>
                <w:sz w:val="24"/>
                <w:szCs w:val="24"/>
              </w:rPr>
            </w:pPr>
            <w:r>
              <w:rPr>
                <w:rFonts w:ascii="Times New Roman" w:hAnsi="Times New Roman" w:cs="Times New Roman"/>
                <w:sz w:val="24"/>
                <w:szCs w:val="24"/>
              </w:rPr>
              <w:t>Иное ресурсное обеспечение инвестиционного проекта</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Ключевые федеральные и региональные меры государственной поддержки, оказывающие влияние на реализацию инвестиционного проекта</w:t>
            </w:r>
          </w:p>
        </w:tc>
        <w:tc>
          <w:tcPr>
            <w:tcW w:w="6025" w:type="dxa"/>
            <w:gridSpan w:val="2"/>
          </w:tcPr>
          <w:p w:rsidR="005F774E" w:rsidRDefault="000F2CF1">
            <w:pPr>
              <w:pStyle w:val="afe"/>
              <w:numPr>
                <w:ilvl w:val="0"/>
                <w:numId w:val="2"/>
              </w:numPr>
              <w:tabs>
                <w:tab w:val="left" w:pos="404"/>
              </w:tabs>
              <w:ind w:left="0" w:firstLine="0"/>
              <w:jc w:val="both"/>
              <w:rPr>
                <w:rFonts w:ascii="Times New Roman" w:hAnsi="Times New Roman" w:cs="Times New Roman"/>
                <w:sz w:val="24"/>
                <w:szCs w:val="24"/>
              </w:rPr>
            </w:pPr>
            <w:r>
              <w:rPr>
                <w:rFonts w:ascii="Times New Roman" w:hAnsi="Times New Roman" w:cs="Times New Roman"/>
                <w:sz w:val="24"/>
                <w:szCs w:val="24"/>
              </w:rPr>
              <w:t>Сопровождение проекта по принципу «Одного окна»</w:t>
            </w:r>
          </w:p>
          <w:p w:rsidR="005F774E" w:rsidRDefault="000F2CF1">
            <w:pPr>
              <w:pStyle w:val="afe"/>
              <w:numPr>
                <w:ilvl w:val="0"/>
                <w:numId w:val="2"/>
              </w:numPr>
              <w:tabs>
                <w:tab w:val="left" w:pos="404"/>
              </w:tabs>
              <w:ind w:left="83" w:hanging="83"/>
              <w:jc w:val="both"/>
              <w:rPr>
                <w:rFonts w:ascii="Times New Roman" w:hAnsi="Times New Roman" w:cs="Times New Roman"/>
                <w:sz w:val="24"/>
                <w:szCs w:val="24"/>
              </w:rPr>
            </w:pPr>
            <w:r>
              <w:rPr>
                <w:rFonts w:ascii="Times New Roman" w:hAnsi="Times New Roman" w:cs="Times New Roman"/>
                <w:sz w:val="24"/>
                <w:szCs w:val="24"/>
              </w:rPr>
              <w:t>Предоставление земельного участка с примыканием к автодороге.</w:t>
            </w:r>
          </w:p>
          <w:p w:rsidR="005F774E" w:rsidRDefault="000F2CF1">
            <w:pPr>
              <w:pStyle w:val="afe"/>
              <w:numPr>
                <w:ilvl w:val="0"/>
                <w:numId w:val="2"/>
              </w:numPr>
              <w:tabs>
                <w:tab w:val="left" w:pos="404"/>
              </w:tabs>
              <w:ind w:left="83" w:hanging="83"/>
              <w:jc w:val="both"/>
              <w:rPr>
                <w:rFonts w:ascii="Times New Roman" w:hAnsi="Times New Roman" w:cs="Times New Roman"/>
                <w:sz w:val="24"/>
                <w:szCs w:val="24"/>
              </w:rPr>
            </w:pPr>
            <w:r>
              <w:rPr>
                <w:rFonts w:ascii="Times New Roman" w:hAnsi="Times New Roman" w:cs="Times New Roman"/>
                <w:sz w:val="24"/>
                <w:szCs w:val="24"/>
              </w:rPr>
              <w:t>Координация в части взаимодействия с администрациями муниципальных образований - продвижение проекта в деловой среде.</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pacing w:val="-4"/>
                <w:sz w:val="24"/>
                <w:szCs w:val="24"/>
              </w:rPr>
            </w:pPr>
            <w:r>
              <w:rPr>
                <w:rFonts w:ascii="Times New Roman" w:hAnsi="Times New Roman" w:cs="Times New Roman"/>
                <w:sz w:val="24"/>
                <w:szCs w:val="24"/>
              </w:rPr>
              <w:t xml:space="preserve">Возможность включения объекта в реестр инвестиционных проектов автономного округа в соответствии </w:t>
            </w:r>
            <w:r>
              <w:rPr>
                <w:rFonts w:ascii="Times New Roman" w:hAnsi="Times New Roman" w:cs="Times New Roman"/>
                <w:sz w:val="24"/>
                <w:szCs w:val="24"/>
              </w:rPr>
              <w:br/>
              <w:t xml:space="preserve">с Порядком </w:t>
            </w:r>
            <w:r>
              <w:rPr>
                <w:rFonts w:ascii="Times New Roman" w:eastAsia="Times New Roman" w:hAnsi="Times New Roman" w:cs="Times New Roman"/>
                <w:color w:val="000000" w:themeColor="text1"/>
                <w:spacing w:val="-4"/>
                <w:sz w:val="24"/>
                <w:szCs w:val="24"/>
              </w:rPr>
              <w:t>формирования Реестра инвестиционных проектов Ханты-Мансийского автономного округа - Югры в целях применения налогоплательщиками льготы по налогу на имущество организаций</w:t>
            </w:r>
            <w:r>
              <w:rPr>
                <w:rFonts w:ascii="Times New Roman" w:hAnsi="Times New Roman" w:cs="Times New Roman"/>
                <w:color w:val="000000" w:themeColor="text1"/>
                <w:sz w:val="24"/>
                <w:szCs w:val="24"/>
              </w:rPr>
              <w:t>, утвержденным п</w:t>
            </w:r>
            <w:r>
              <w:rPr>
                <w:rFonts w:ascii="Times New Roman" w:eastAsia="Times New Roman" w:hAnsi="Times New Roman" w:cs="Times New Roman"/>
                <w:color w:val="000000" w:themeColor="text1"/>
                <w:spacing w:val="-4"/>
                <w:sz w:val="24"/>
                <w:szCs w:val="24"/>
              </w:rPr>
              <w:t>остановлением Правительства Ханты-Мансийского автономного округа – Югры от 20.12.2007 № 326-п.</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Налоговая льгота по налогу на имущество организаций (0 % – в течение 10 лет при объёме выручки менее 1 млрд руб. и объёме чистой прибыли менее 300 млн руб.).</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Налоговая льгота по налогу на прибыль организаций (0 % – в течение 10 лет при объёме выручки менее 1 млрд. руб. и объёме чистой прибыли менее 300 млн руб.).</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rPr>
              <w:t xml:space="preserve">Налоговая льгота по земельному налогу </w:t>
            </w:r>
            <w:r>
              <w:rPr>
                <w:rFonts w:ascii="Times New Roman" w:hAnsi="Times New Roman" w:cs="Times New Roman"/>
                <w:color w:val="000000" w:themeColor="text1"/>
                <w:sz w:val="24"/>
                <w:szCs w:val="24"/>
                <w:highlight w:val="white"/>
              </w:rPr>
              <w:t>(0 % – в течение 10 лет при объёме выручки менее 1 млрд. руб. и объёме чистой прибыли менее 300 млн руб.).</w:t>
            </w:r>
            <w:r>
              <w:rPr>
                <w:rFonts w:ascii="Times New Roman" w:hAnsi="Times New Roman" w:cs="Times New Roman"/>
                <w:color w:val="000000" w:themeColor="text1"/>
                <w:sz w:val="24"/>
                <w:szCs w:val="24"/>
              </w:rPr>
              <w:t xml:space="preserve"> </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highlight w:val="white"/>
              </w:rPr>
              <w:t>Налоговая льгота по налогу на добавленную стоимость (0 % – в течение 10 лет при объёме выручки менее 1 млрд руб. и объёме чистой прибыли менее 300 м</w:t>
            </w:r>
            <w:r>
              <w:rPr>
                <w:rFonts w:ascii="Times New Roman" w:hAnsi="Times New Roman" w:cs="Times New Roman"/>
                <w:color w:val="000000" w:themeColor="text1"/>
                <w:sz w:val="24"/>
                <w:szCs w:val="24"/>
              </w:rPr>
              <w:t>лн руб.).</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Возможно получение льгот по таможенному оформлению;</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Управляющая компания ИНТЦ выдаёт разрешения на медицинскую образовательную деятельность на территории ИНТЦ, а также разрешение на строительство.</w:t>
            </w:r>
          </w:p>
          <w:p w:rsidR="005F774E" w:rsidRDefault="000F2CF1">
            <w:pPr>
              <w:pStyle w:val="afe"/>
              <w:numPr>
                <w:ilvl w:val="0"/>
                <w:numId w:val="2"/>
              </w:numPr>
              <w:tabs>
                <w:tab w:val="left" w:pos="404"/>
              </w:tabs>
              <w:ind w:left="83" w:hanging="83"/>
              <w:jc w:val="both"/>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Единый пониженный тариф страховых взносов (с величины минимального размера оплаты труда - 30%, свыше – 15%).</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 xml:space="preserve">Возможность </w:t>
            </w:r>
            <w:proofErr w:type="spellStart"/>
            <w:r>
              <w:rPr>
                <w:rFonts w:ascii="Times New Roman" w:hAnsi="Times New Roman" w:cs="Times New Roman"/>
                <w:sz w:val="24"/>
                <w:szCs w:val="24"/>
              </w:rPr>
              <w:t>софинансирования</w:t>
            </w:r>
            <w:proofErr w:type="spellEnd"/>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Обязательства субъекта 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 связанные с реализацией</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p w:rsidR="005F774E" w:rsidRDefault="000F2CF1">
            <w:pPr>
              <w:rPr>
                <w:rFonts w:ascii="Times New Roman" w:hAnsi="Times New Roman" w:cs="Times New Roman"/>
                <w:sz w:val="24"/>
                <w:szCs w:val="24"/>
              </w:rPr>
            </w:pPr>
            <w:r>
              <w:rPr>
                <w:rFonts w:ascii="Times New Roman" w:hAnsi="Times New Roman" w:cs="Times New Roman"/>
                <w:sz w:val="24"/>
                <w:szCs w:val="24"/>
              </w:rPr>
              <w:t>(при наличии)</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Возможности и условия партнерства при</w:t>
            </w:r>
          </w:p>
          <w:p w:rsidR="005F774E" w:rsidRDefault="000F2CF1">
            <w:pPr>
              <w:rPr>
                <w:rFonts w:ascii="Times New Roman" w:hAnsi="Times New Roman" w:cs="Times New Roman"/>
                <w:sz w:val="24"/>
                <w:szCs w:val="24"/>
              </w:rPr>
            </w:pPr>
            <w:r>
              <w:rPr>
                <w:rFonts w:ascii="Times New Roman" w:hAnsi="Times New Roman" w:cs="Times New Roman"/>
                <w:sz w:val="24"/>
                <w:szCs w:val="24"/>
              </w:rPr>
              <w:t>реализации инвестиционного проекта</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bCs/>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Логистические преимущества субъекта</w:t>
            </w:r>
          </w:p>
          <w:p w:rsidR="005F774E" w:rsidRDefault="000F2CF1">
            <w:pPr>
              <w:rPr>
                <w:rFonts w:ascii="Times New Roman" w:hAnsi="Times New Roman" w:cs="Times New Roman"/>
                <w:sz w:val="24"/>
                <w:szCs w:val="24"/>
              </w:rPr>
            </w:pPr>
            <w:r>
              <w:rPr>
                <w:rFonts w:ascii="Times New Roman" w:hAnsi="Times New Roman" w:cs="Times New Roman"/>
                <w:sz w:val="24"/>
                <w:szCs w:val="24"/>
              </w:rPr>
              <w:t>Российской Федерации</w:t>
            </w:r>
          </w:p>
        </w:tc>
        <w:tc>
          <w:tcPr>
            <w:tcW w:w="6025" w:type="dxa"/>
            <w:gridSpan w:val="2"/>
          </w:tcPr>
          <w:p w:rsidR="005F774E" w:rsidRDefault="000F2CF1">
            <w:pPr>
              <w:jc w:val="both"/>
              <w:rPr>
                <w:rFonts w:ascii="Times New Roman" w:hAnsi="Times New Roman" w:cs="Times New Roman"/>
                <w:sz w:val="24"/>
                <w:szCs w:val="24"/>
              </w:rPr>
            </w:pPr>
            <w:r>
              <w:rPr>
                <w:rFonts w:ascii="Times New Roman" w:hAnsi="Times New Roman" w:cs="Times New Roman"/>
                <w:sz w:val="24"/>
                <w:szCs w:val="24"/>
              </w:rPr>
              <w:t xml:space="preserve">Ханты-Мансийский автономный округ – </w:t>
            </w:r>
            <w:proofErr w:type="gramStart"/>
            <w:r>
              <w:rPr>
                <w:rFonts w:ascii="Times New Roman" w:hAnsi="Times New Roman" w:cs="Times New Roman"/>
                <w:sz w:val="24"/>
                <w:szCs w:val="24"/>
              </w:rPr>
              <w:t>Югра  имеет</w:t>
            </w:r>
            <w:proofErr w:type="gramEnd"/>
            <w:r>
              <w:rPr>
                <w:rFonts w:ascii="Times New Roman" w:hAnsi="Times New Roman" w:cs="Times New Roman"/>
                <w:sz w:val="24"/>
                <w:szCs w:val="24"/>
              </w:rPr>
              <w:t xml:space="preserve"> выгодное географическое и, соответственно, логистическое расположение: регион граничит одновременно с шестью субъектами Российской Федерации, являющимися важными промышленными и энергетическими регионами РФ: ЯНАО, Красноярский край, Тюменская область, Томская область, Свердловская область и р. Коми.</w:t>
            </w:r>
          </w:p>
          <w:p w:rsidR="005F774E" w:rsidRDefault="000F2CF1">
            <w:pPr>
              <w:jc w:val="both"/>
              <w:rPr>
                <w:rFonts w:ascii="Times New Roman" w:hAnsi="Times New Roman" w:cs="Times New Roman"/>
                <w:sz w:val="24"/>
                <w:szCs w:val="24"/>
              </w:rPr>
            </w:pPr>
            <w:r>
              <w:rPr>
                <w:rFonts w:ascii="Times New Roman" w:hAnsi="Times New Roman" w:cs="Times New Roman"/>
                <w:sz w:val="24"/>
                <w:szCs w:val="24"/>
              </w:rPr>
              <w:t xml:space="preserve">        В регионе хорошо развита сеть современных автомобильных, железнодорожных, водных путей, интенсивное авиасообщение с городами России и зарубежья – один из определяющих факторов эффективного развития экономических связей. По территории Югры проходят два из 18-ти основных автодорожных коридоров России: «Северный маршрут» (Пермь – Серов – </w:t>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Нефтеюганск – Сургут – Нижневартовск – Томск) и «Сибирский коридор» (Тюмень – Сургут – Новый Уренгой – Надым – Салехард).</w:t>
            </w:r>
          </w:p>
          <w:p w:rsidR="005F774E" w:rsidRDefault="000F2CF1">
            <w:pPr>
              <w:jc w:val="both"/>
              <w:rPr>
                <w:rFonts w:ascii="Times New Roman" w:hAnsi="Times New Roman" w:cs="Times New Roman"/>
                <w:sz w:val="24"/>
                <w:szCs w:val="24"/>
              </w:rPr>
            </w:pPr>
            <w:r>
              <w:rPr>
                <w:rFonts w:ascii="Times New Roman" w:hAnsi="Times New Roman" w:cs="Times New Roman"/>
                <w:sz w:val="24"/>
                <w:szCs w:val="24"/>
              </w:rPr>
              <w:t>Через Ямало-Ненецкий автономный округ осуществляется выход к Северному морскому пути и богатейшим месторождениям шельфа Карского моря и полуострова Ямал.</w:t>
            </w:r>
          </w:p>
          <w:p w:rsidR="005F774E" w:rsidRDefault="000F2CF1">
            <w:pPr>
              <w:jc w:val="both"/>
              <w:rPr>
                <w:rFonts w:ascii="Times New Roman" w:hAnsi="Times New Roman" w:cs="Times New Roman"/>
                <w:sz w:val="24"/>
                <w:szCs w:val="24"/>
              </w:rPr>
            </w:pPr>
            <w:r>
              <w:rPr>
                <w:rFonts w:ascii="Times New Roman" w:hAnsi="Times New Roman" w:cs="Times New Roman"/>
                <w:sz w:val="24"/>
                <w:szCs w:val="24"/>
              </w:rPr>
              <w:t xml:space="preserve">   В регионе активно развиваются новые направления перевозок и модернизируются существующие пути сообщения. Строительство моста через реку Обь (п. </w:t>
            </w:r>
            <w:proofErr w:type="spellStart"/>
            <w:r>
              <w:rPr>
                <w:rFonts w:ascii="Times New Roman" w:hAnsi="Times New Roman" w:cs="Times New Roman"/>
                <w:sz w:val="24"/>
                <w:szCs w:val="24"/>
              </w:rPr>
              <w:t>Андра</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Приобье</w:t>
            </w:r>
            <w:proofErr w:type="spellEnd"/>
            <w:r>
              <w:rPr>
                <w:rFonts w:ascii="Times New Roman" w:hAnsi="Times New Roman" w:cs="Times New Roman"/>
                <w:sz w:val="24"/>
                <w:szCs w:val="24"/>
              </w:rPr>
              <w:t xml:space="preserve">) в перспективе обеспечит прямой выход на международный транспортный коридор «Транссиб», также в Югре реализуется масштабный проект по строительству мостового перехода, протяженность которого составляет более 45 км. Этот объект является одним из крупнейших реализующихся на территории России, поддержан Президентом России. Объект возьмет на себя основную нагрузку двух </w:t>
            </w:r>
            <w:r>
              <w:rPr>
                <w:rFonts w:ascii="Times New Roman" w:hAnsi="Times New Roman" w:cs="Times New Roman"/>
                <w:sz w:val="24"/>
                <w:szCs w:val="24"/>
              </w:rPr>
              <w:lastRenderedPageBreak/>
              <w:t xml:space="preserve">федеральных транспортных коридоров Тюмень – Тобольск – Сургут – Новый Уренгой – Надым – Салехард и Пермь – </w:t>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Сургут – Нижневартовск – Томск, которые входят в состав транспортных коридоров Арктика – Азия и Северный широтный коридор.</w:t>
            </w:r>
          </w:p>
          <w:p w:rsidR="005F774E" w:rsidRDefault="000F2CF1">
            <w:pPr>
              <w:jc w:val="both"/>
              <w:rPr>
                <w:rFonts w:ascii="Times New Roman" w:hAnsi="Times New Roman" w:cs="Times New Roman"/>
                <w:sz w:val="24"/>
                <w:szCs w:val="24"/>
              </w:rPr>
            </w:pPr>
            <w:r>
              <w:rPr>
                <w:rFonts w:ascii="Times New Roman" w:hAnsi="Times New Roman" w:cs="Times New Roman"/>
                <w:sz w:val="24"/>
                <w:szCs w:val="24"/>
              </w:rPr>
              <w:t xml:space="preserve">           Создание новых транспортно-логистических систем является одной из точек роста для развития промышленности, туризма, торговли и сферы услуг.</w:t>
            </w:r>
          </w:p>
        </w:tc>
      </w:tr>
      <w:tr w:rsidR="005F774E" w:rsidTr="00CD6E68">
        <w:tc>
          <w:tcPr>
            <w:tcW w:w="2361" w:type="dxa"/>
            <w:tcBorders>
              <w:righ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Кадровое</w:t>
            </w:r>
          </w:p>
          <w:p w:rsidR="005F774E" w:rsidRDefault="000F2CF1">
            <w:pPr>
              <w:rPr>
                <w:rFonts w:ascii="Times New Roman" w:hAnsi="Times New Roman" w:cs="Times New Roman"/>
                <w:sz w:val="24"/>
                <w:szCs w:val="24"/>
              </w:rPr>
            </w:pPr>
            <w:r>
              <w:rPr>
                <w:rFonts w:ascii="Times New Roman" w:hAnsi="Times New Roman" w:cs="Times New Roman"/>
                <w:sz w:val="24"/>
                <w:szCs w:val="24"/>
              </w:rPr>
              <w:t>обеспечение</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w:t>
            </w:r>
          </w:p>
          <w:p w:rsidR="005F774E" w:rsidRDefault="000F2CF1">
            <w:pPr>
              <w:rPr>
                <w:rFonts w:ascii="Times New Roman" w:hAnsi="Times New Roman" w:cs="Times New Roman"/>
                <w:sz w:val="24"/>
                <w:szCs w:val="24"/>
              </w:rPr>
            </w:pPr>
            <w:r>
              <w:rPr>
                <w:rFonts w:ascii="Times New Roman" w:hAnsi="Times New Roman" w:cs="Times New Roman"/>
                <w:sz w:val="24"/>
                <w:szCs w:val="24"/>
              </w:rPr>
              <w:t>проекта</w:t>
            </w:r>
          </w:p>
        </w:tc>
        <w:tc>
          <w:tcPr>
            <w:tcW w:w="2382" w:type="dxa"/>
            <w:gridSpan w:val="2"/>
            <w:tcBorders>
              <w:lef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t>Население субъекта</w:t>
            </w:r>
          </w:p>
          <w:p w:rsidR="005F774E" w:rsidRDefault="000F2CF1">
            <w:pPr>
              <w:rPr>
                <w:rFonts w:ascii="Times New Roman" w:hAnsi="Times New Roman" w:cs="Times New Roman"/>
                <w:sz w:val="24"/>
                <w:szCs w:val="24"/>
              </w:rPr>
            </w:pPr>
            <w:r>
              <w:rPr>
                <w:rFonts w:ascii="Times New Roman" w:hAnsi="Times New Roman" w:cs="Times New Roman"/>
                <w:sz w:val="24"/>
                <w:szCs w:val="24"/>
              </w:rPr>
              <w:t>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 (тыс. чел.)</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 xml:space="preserve">Население Ханты-Мансийского автономного округа – Югры – 1 759, 386 </w:t>
            </w:r>
            <w:proofErr w:type="spellStart"/>
            <w:r>
              <w:rPr>
                <w:rFonts w:ascii="Times New Roman" w:hAnsi="Times New Roman" w:cs="Times New Roman"/>
                <w:sz w:val="24"/>
                <w:szCs w:val="24"/>
              </w:rPr>
              <w:t>тыс.чел</w:t>
            </w:r>
            <w:proofErr w:type="spellEnd"/>
            <w:r>
              <w:rPr>
                <w:rFonts w:ascii="Times New Roman" w:hAnsi="Times New Roman" w:cs="Times New Roman"/>
                <w:sz w:val="24"/>
                <w:szCs w:val="24"/>
              </w:rPr>
              <w:t>.</w:t>
            </w:r>
          </w:p>
          <w:p w:rsidR="005F774E" w:rsidRDefault="000F2CF1">
            <w:pPr>
              <w:rPr>
                <w:rFonts w:ascii="Times New Roman" w:hAnsi="Times New Roman" w:cs="Times New Roman"/>
                <w:sz w:val="24"/>
                <w:szCs w:val="24"/>
              </w:rPr>
            </w:pPr>
            <w:r>
              <w:rPr>
                <w:rFonts w:ascii="Times New Roman" w:hAnsi="Times New Roman" w:cs="Times New Roman"/>
                <w:sz w:val="24"/>
                <w:szCs w:val="24"/>
              </w:rPr>
              <w:t xml:space="preserve">Население г. Сургут – 387,2 </w:t>
            </w:r>
            <w:proofErr w:type="spellStart"/>
            <w:r>
              <w:rPr>
                <w:rFonts w:ascii="Times New Roman" w:hAnsi="Times New Roman" w:cs="Times New Roman"/>
                <w:sz w:val="24"/>
                <w:szCs w:val="24"/>
              </w:rPr>
              <w:t>тыс.чел</w:t>
            </w:r>
            <w:proofErr w:type="spellEnd"/>
            <w:r>
              <w:rPr>
                <w:rFonts w:ascii="Times New Roman" w:hAnsi="Times New Roman" w:cs="Times New Roman"/>
                <w:sz w:val="24"/>
                <w:szCs w:val="24"/>
              </w:rPr>
              <w:t>.</w:t>
            </w:r>
          </w:p>
        </w:tc>
      </w:tr>
      <w:tr w:rsidR="005F774E" w:rsidTr="00CD6E68">
        <w:tc>
          <w:tcPr>
            <w:tcW w:w="2361" w:type="dxa"/>
            <w:tcBorders>
              <w:right w:val="single" w:sz="4" w:space="0" w:color="auto"/>
            </w:tcBorders>
          </w:tcPr>
          <w:p w:rsidR="005F774E" w:rsidRDefault="005F774E">
            <w:pPr>
              <w:rPr>
                <w:rFonts w:ascii="Times New Roman" w:hAnsi="Times New Roman" w:cs="Times New Roman"/>
                <w:sz w:val="24"/>
                <w:szCs w:val="24"/>
              </w:rPr>
            </w:pPr>
          </w:p>
        </w:tc>
        <w:tc>
          <w:tcPr>
            <w:tcW w:w="2382" w:type="dxa"/>
            <w:gridSpan w:val="2"/>
            <w:tcBorders>
              <w:lef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t>Трудоспособное</w:t>
            </w:r>
          </w:p>
          <w:p w:rsidR="005F774E" w:rsidRDefault="000F2CF1">
            <w:pPr>
              <w:rPr>
                <w:rFonts w:ascii="Times New Roman" w:hAnsi="Times New Roman" w:cs="Times New Roman"/>
                <w:sz w:val="24"/>
                <w:szCs w:val="24"/>
              </w:rPr>
            </w:pPr>
            <w:r>
              <w:rPr>
                <w:rFonts w:ascii="Times New Roman" w:hAnsi="Times New Roman" w:cs="Times New Roman"/>
                <w:sz w:val="24"/>
                <w:szCs w:val="24"/>
              </w:rPr>
              <w:t>население субъекта</w:t>
            </w:r>
          </w:p>
          <w:p w:rsidR="005F774E" w:rsidRDefault="000F2CF1">
            <w:pPr>
              <w:rPr>
                <w:rFonts w:ascii="Times New Roman" w:hAnsi="Times New Roman" w:cs="Times New Roman"/>
                <w:sz w:val="24"/>
                <w:szCs w:val="24"/>
              </w:rPr>
            </w:pPr>
            <w:r>
              <w:rPr>
                <w:rFonts w:ascii="Times New Roman" w:hAnsi="Times New Roman" w:cs="Times New Roman"/>
                <w:sz w:val="24"/>
                <w:szCs w:val="24"/>
              </w:rPr>
              <w:t>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 (тыс. чел.)</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1 087, 900</w:t>
            </w:r>
          </w:p>
        </w:tc>
      </w:tr>
      <w:tr w:rsidR="005F774E" w:rsidTr="00CD6E68">
        <w:tc>
          <w:tcPr>
            <w:tcW w:w="2361" w:type="dxa"/>
            <w:tcBorders>
              <w:right w:val="single" w:sz="4" w:space="0" w:color="auto"/>
            </w:tcBorders>
          </w:tcPr>
          <w:p w:rsidR="005F774E" w:rsidRDefault="005F774E">
            <w:pPr>
              <w:rPr>
                <w:rFonts w:ascii="Times New Roman" w:hAnsi="Times New Roman" w:cs="Times New Roman"/>
                <w:sz w:val="24"/>
                <w:szCs w:val="24"/>
              </w:rPr>
            </w:pPr>
          </w:p>
        </w:tc>
        <w:tc>
          <w:tcPr>
            <w:tcW w:w="2382" w:type="dxa"/>
            <w:gridSpan w:val="2"/>
            <w:tcBorders>
              <w:lef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t>Население</w:t>
            </w:r>
          </w:p>
          <w:p w:rsidR="005F774E" w:rsidRDefault="000F2CF1">
            <w:pPr>
              <w:rPr>
                <w:rFonts w:ascii="Times New Roman" w:hAnsi="Times New Roman" w:cs="Times New Roman"/>
                <w:sz w:val="24"/>
                <w:szCs w:val="24"/>
              </w:rPr>
            </w:pPr>
            <w:r>
              <w:rPr>
                <w:rFonts w:ascii="Times New Roman" w:hAnsi="Times New Roman" w:cs="Times New Roman"/>
                <w:sz w:val="24"/>
                <w:szCs w:val="24"/>
              </w:rPr>
              <w:t>Агломерации в</w:t>
            </w:r>
          </w:p>
          <w:p w:rsidR="005F774E" w:rsidRDefault="000F2CF1">
            <w:pPr>
              <w:rPr>
                <w:rFonts w:ascii="Times New Roman" w:hAnsi="Times New Roman" w:cs="Times New Roman"/>
                <w:sz w:val="24"/>
                <w:szCs w:val="24"/>
              </w:rPr>
            </w:pPr>
            <w:r>
              <w:rPr>
                <w:rFonts w:ascii="Times New Roman" w:hAnsi="Times New Roman" w:cs="Times New Roman"/>
                <w:sz w:val="24"/>
                <w:szCs w:val="24"/>
              </w:rPr>
              <w:t>непосредственной</w:t>
            </w:r>
          </w:p>
          <w:p w:rsidR="005F774E" w:rsidRDefault="000F2CF1">
            <w:pPr>
              <w:rPr>
                <w:rFonts w:ascii="Times New Roman" w:hAnsi="Times New Roman" w:cs="Times New Roman"/>
                <w:sz w:val="24"/>
                <w:szCs w:val="24"/>
              </w:rPr>
            </w:pPr>
            <w:r>
              <w:rPr>
                <w:rFonts w:ascii="Times New Roman" w:hAnsi="Times New Roman" w:cs="Times New Roman"/>
                <w:sz w:val="24"/>
                <w:szCs w:val="24"/>
              </w:rPr>
              <w:t>локации (тыс. чел.)</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387,2</w:t>
            </w:r>
          </w:p>
        </w:tc>
      </w:tr>
      <w:tr w:rsidR="005F774E" w:rsidTr="00CD6E68">
        <w:tc>
          <w:tcPr>
            <w:tcW w:w="2361" w:type="dxa"/>
            <w:tcBorders>
              <w:right w:val="single" w:sz="4" w:space="0" w:color="auto"/>
            </w:tcBorders>
          </w:tcPr>
          <w:p w:rsidR="005F774E" w:rsidRDefault="005F774E">
            <w:pPr>
              <w:rPr>
                <w:rFonts w:ascii="Times New Roman" w:hAnsi="Times New Roman" w:cs="Times New Roman"/>
                <w:sz w:val="24"/>
                <w:szCs w:val="24"/>
              </w:rPr>
            </w:pPr>
          </w:p>
        </w:tc>
        <w:tc>
          <w:tcPr>
            <w:tcW w:w="2382" w:type="dxa"/>
            <w:gridSpan w:val="2"/>
            <w:tcBorders>
              <w:lef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t>Средняя заработная</w:t>
            </w:r>
          </w:p>
          <w:p w:rsidR="005F774E" w:rsidRDefault="000F2CF1">
            <w:pPr>
              <w:rPr>
                <w:rFonts w:ascii="Times New Roman" w:hAnsi="Times New Roman" w:cs="Times New Roman"/>
                <w:sz w:val="24"/>
                <w:szCs w:val="24"/>
              </w:rPr>
            </w:pPr>
            <w:r>
              <w:rPr>
                <w:rFonts w:ascii="Times New Roman" w:hAnsi="Times New Roman" w:cs="Times New Roman"/>
                <w:sz w:val="24"/>
                <w:szCs w:val="24"/>
              </w:rPr>
              <w:t>плата в субъекте</w:t>
            </w:r>
          </w:p>
          <w:p w:rsidR="005F774E" w:rsidRDefault="000F2CF1">
            <w:pPr>
              <w:rPr>
                <w:rFonts w:ascii="Times New Roman" w:hAnsi="Times New Roman" w:cs="Times New Roman"/>
                <w:sz w:val="24"/>
                <w:szCs w:val="24"/>
              </w:rPr>
            </w:pPr>
            <w:r>
              <w:rPr>
                <w:rFonts w:ascii="Times New Roman" w:hAnsi="Times New Roman" w:cs="Times New Roman"/>
                <w:sz w:val="24"/>
                <w:szCs w:val="24"/>
              </w:rPr>
              <w:t>Российской</w:t>
            </w:r>
          </w:p>
          <w:p w:rsidR="005F774E" w:rsidRDefault="000F2CF1">
            <w:pPr>
              <w:rPr>
                <w:rFonts w:ascii="Times New Roman" w:hAnsi="Times New Roman" w:cs="Times New Roman"/>
                <w:sz w:val="24"/>
                <w:szCs w:val="24"/>
              </w:rPr>
            </w:pPr>
            <w:r>
              <w:rPr>
                <w:rFonts w:ascii="Times New Roman" w:hAnsi="Times New Roman" w:cs="Times New Roman"/>
                <w:sz w:val="24"/>
                <w:szCs w:val="24"/>
              </w:rPr>
              <w:t>Федерации (тыс. руб.)</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108,1</w:t>
            </w:r>
          </w:p>
        </w:tc>
      </w:tr>
      <w:tr w:rsidR="005F774E" w:rsidTr="00CD6E68">
        <w:tc>
          <w:tcPr>
            <w:tcW w:w="2361" w:type="dxa"/>
            <w:tcBorders>
              <w:right w:val="single" w:sz="4" w:space="0" w:color="auto"/>
            </w:tcBorders>
          </w:tcPr>
          <w:p w:rsidR="005F774E" w:rsidRDefault="005F774E">
            <w:pPr>
              <w:rPr>
                <w:rFonts w:ascii="Times New Roman" w:hAnsi="Times New Roman" w:cs="Times New Roman"/>
                <w:sz w:val="24"/>
                <w:szCs w:val="24"/>
              </w:rPr>
            </w:pPr>
          </w:p>
        </w:tc>
        <w:tc>
          <w:tcPr>
            <w:tcW w:w="2382" w:type="dxa"/>
            <w:gridSpan w:val="2"/>
            <w:tcBorders>
              <w:left w:val="single" w:sz="4" w:space="0" w:color="auto"/>
            </w:tcBorders>
          </w:tcPr>
          <w:p w:rsidR="005F774E" w:rsidRDefault="000F2CF1">
            <w:pPr>
              <w:rPr>
                <w:rFonts w:ascii="Times New Roman" w:hAnsi="Times New Roman" w:cs="Times New Roman"/>
                <w:sz w:val="24"/>
                <w:szCs w:val="24"/>
              </w:rPr>
            </w:pPr>
            <w:r>
              <w:rPr>
                <w:rFonts w:ascii="Times New Roman" w:hAnsi="Times New Roman" w:cs="Times New Roman"/>
                <w:sz w:val="24"/>
                <w:szCs w:val="24"/>
              </w:rPr>
              <w:t>Наличие профильных</w:t>
            </w:r>
          </w:p>
          <w:p w:rsidR="005F774E" w:rsidRDefault="000F2CF1">
            <w:pPr>
              <w:rPr>
                <w:rFonts w:ascii="Times New Roman" w:hAnsi="Times New Roman" w:cs="Times New Roman"/>
                <w:sz w:val="24"/>
                <w:szCs w:val="24"/>
              </w:rPr>
            </w:pPr>
            <w:r>
              <w:rPr>
                <w:rFonts w:ascii="Times New Roman" w:hAnsi="Times New Roman" w:cs="Times New Roman"/>
                <w:sz w:val="24"/>
                <w:szCs w:val="24"/>
              </w:rPr>
              <w:t>образовательных</w:t>
            </w:r>
          </w:p>
          <w:p w:rsidR="005F774E" w:rsidRDefault="000F2CF1">
            <w:pPr>
              <w:rPr>
                <w:rFonts w:ascii="Times New Roman" w:hAnsi="Times New Roman" w:cs="Times New Roman"/>
                <w:sz w:val="24"/>
                <w:szCs w:val="24"/>
              </w:rPr>
            </w:pPr>
            <w:r>
              <w:rPr>
                <w:rFonts w:ascii="Times New Roman" w:hAnsi="Times New Roman" w:cs="Times New Roman"/>
                <w:sz w:val="24"/>
                <w:szCs w:val="24"/>
              </w:rPr>
              <w:t>учреждений</w:t>
            </w:r>
          </w:p>
          <w:p w:rsidR="005F774E" w:rsidRDefault="000F2CF1">
            <w:pPr>
              <w:rPr>
                <w:rFonts w:ascii="Times New Roman" w:hAnsi="Times New Roman" w:cs="Times New Roman"/>
                <w:sz w:val="24"/>
                <w:szCs w:val="24"/>
              </w:rPr>
            </w:pPr>
            <w:r>
              <w:rPr>
                <w:rFonts w:ascii="Times New Roman" w:hAnsi="Times New Roman" w:cs="Times New Roman"/>
                <w:sz w:val="24"/>
                <w:szCs w:val="24"/>
              </w:rPr>
              <w:t>в регионе (высшего</w:t>
            </w:r>
          </w:p>
          <w:p w:rsidR="005F774E" w:rsidRDefault="000F2CF1">
            <w:pPr>
              <w:rPr>
                <w:rFonts w:ascii="Times New Roman" w:hAnsi="Times New Roman" w:cs="Times New Roman"/>
                <w:sz w:val="24"/>
                <w:szCs w:val="24"/>
              </w:rPr>
            </w:pPr>
            <w:r>
              <w:rPr>
                <w:rFonts w:ascii="Times New Roman" w:hAnsi="Times New Roman" w:cs="Times New Roman"/>
                <w:sz w:val="24"/>
                <w:szCs w:val="24"/>
              </w:rPr>
              <w:t>образования</w:t>
            </w:r>
          </w:p>
          <w:p w:rsidR="005F774E" w:rsidRDefault="000F2CF1">
            <w:pPr>
              <w:rPr>
                <w:rFonts w:ascii="Times New Roman" w:hAnsi="Times New Roman" w:cs="Times New Roman"/>
                <w:sz w:val="24"/>
                <w:szCs w:val="24"/>
              </w:rPr>
            </w:pPr>
            <w:r>
              <w:rPr>
                <w:rFonts w:ascii="Times New Roman" w:hAnsi="Times New Roman" w:cs="Times New Roman"/>
                <w:sz w:val="24"/>
                <w:szCs w:val="24"/>
              </w:rPr>
              <w:t>и среднего</w:t>
            </w:r>
          </w:p>
          <w:p w:rsidR="005F774E" w:rsidRDefault="000F2CF1">
            <w:pPr>
              <w:rPr>
                <w:rFonts w:ascii="Times New Roman" w:hAnsi="Times New Roman" w:cs="Times New Roman"/>
                <w:sz w:val="24"/>
                <w:szCs w:val="24"/>
              </w:rPr>
            </w:pPr>
            <w:r>
              <w:rPr>
                <w:rFonts w:ascii="Times New Roman" w:hAnsi="Times New Roman" w:cs="Times New Roman"/>
                <w:sz w:val="24"/>
                <w:szCs w:val="24"/>
              </w:rPr>
              <w:t>специального</w:t>
            </w:r>
          </w:p>
          <w:p w:rsidR="005F774E" w:rsidRDefault="000F2CF1">
            <w:pPr>
              <w:rPr>
                <w:rFonts w:ascii="Times New Roman" w:hAnsi="Times New Roman" w:cs="Times New Roman"/>
                <w:sz w:val="24"/>
                <w:szCs w:val="24"/>
              </w:rPr>
            </w:pPr>
            <w:r>
              <w:rPr>
                <w:rFonts w:ascii="Times New Roman" w:hAnsi="Times New Roman" w:cs="Times New Roman"/>
                <w:sz w:val="24"/>
                <w:szCs w:val="24"/>
              </w:rPr>
              <w:t>образования)</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 xml:space="preserve">51 образовательное учреждение </w:t>
            </w:r>
          </w:p>
          <w:p w:rsidR="005F774E" w:rsidRDefault="000F2CF1">
            <w:pPr>
              <w:rPr>
                <w:rFonts w:ascii="Times New Roman" w:hAnsi="Times New Roman" w:cs="Times New Roman"/>
                <w:sz w:val="24"/>
                <w:szCs w:val="24"/>
              </w:rPr>
            </w:pPr>
            <w:r>
              <w:rPr>
                <w:rFonts w:ascii="Times New Roman" w:hAnsi="Times New Roman" w:cs="Times New Roman"/>
                <w:sz w:val="24"/>
                <w:szCs w:val="24"/>
              </w:rPr>
              <w:t>среднего и высшего образования, из которых 5 – учреждения высшего образования (вузы).</w:t>
            </w:r>
          </w:p>
          <w:p w:rsidR="005F774E" w:rsidRDefault="005F774E">
            <w:pPr>
              <w:rPr>
                <w:rFonts w:ascii="Times New Roman" w:hAnsi="Times New Roman" w:cs="Times New Roman"/>
                <w:sz w:val="24"/>
                <w:szCs w:val="24"/>
              </w:rPr>
            </w:pPr>
          </w:p>
          <w:p w:rsidR="005F774E" w:rsidRDefault="000F2CF1">
            <w:pPr>
              <w:rPr>
                <w:rFonts w:ascii="Times New Roman" w:hAnsi="Times New Roman" w:cs="Times New Roman"/>
                <w:sz w:val="24"/>
                <w:szCs w:val="24"/>
              </w:rPr>
            </w:pPr>
            <w:r>
              <w:rPr>
                <w:rFonts w:ascii="Times New Roman" w:hAnsi="Times New Roman" w:cs="Times New Roman"/>
                <w:sz w:val="24"/>
                <w:szCs w:val="24"/>
              </w:rPr>
              <w:t>На территории ИНТЦ «ЮНИТИ ПАРК» создается инновационный университет, школы</w:t>
            </w:r>
          </w:p>
        </w:tc>
      </w:tr>
      <w:tr w:rsidR="005F774E" w:rsidTr="00CD6E68">
        <w:tc>
          <w:tcPr>
            <w:tcW w:w="10768" w:type="dxa"/>
            <w:gridSpan w:val="5"/>
          </w:tcPr>
          <w:p w:rsidR="005F774E" w:rsidRDefault="000F2CF1">
            <w:pPr>
              <w:jc w:val="center"/>
              <w:rPr>
                <w:rFonts w:ascii="Times New Roman" w:hAnsi="Times New Roman" w:cs="Times New Roman"/>
                <w:sz w:val="24"/>
                <w:szCs w:val="24"/>
              </w:rPr>
            </w:pPr>
            <w:r>
              <w:rPr>
                <w:rFonts w:ascii="Times New Roman" w:hAnsi="Times New Roman" w:cs="Times New Roman"/>
                <w:sz w:val="24"/>
                <w:szCs w:val="24"/>
              </w:rPr>
              <w:t>Прогнозируемые финансово-экономические показатели инвестиционного проекта</w:t>
            </w:r>
          </w:p>
          <w:p w:rsidR="005F774E" w:rsidRDefault="000F2CF1">
            <w:pPr>
              <w:rPr>
                <w:rFonts w:ascii="Times New Roman" w:hAnsi="Times New Roman" w:cs="Times New Roman"/>
                <w:sz w:val="24"/>
                <w:szCs w:val="24"/>
              </w:rPr>
            </w:pPr>
            <w:r>
              <w:rPr>
                <w:rFonts w:ascii="Times New Roman" w:hAnsi="Times New Roman" w:cs="Times New Roman"/>
                <w:sz w:val="24"/>
                <w:szCs w:val="24"/>
              </w:rPr>
              <w:t>(опционально)</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Предполагаемая общая стоимость</w:t>
            </w:r>
          </w:p>
          <w:p w:rsidR="005F774E" w:rsidRDefault="000F2CF1">
            <w:pPr>
              <w:rPr>
                <w:rFonts w:ascii="Times New Roman" w:hAnsi="Times New Roman" w:cs="Times New Roman"/>
                <w:sz w:val="24"/>
                <w:szCs w:val="24"/>
              </w:rPr>
            </w:pPr>
            <w:r>
              <w:rPr>
                <w:rFonts w:ascii="Times New Roman" w:hAnsi="Times New Roman" w:cs="Times New Roman"/>
                <w:sz w:val="24"/>
                <w:szCs w:val="24"/>
              </w:rPr>
              <w:t>инвестиционного проекта (млн. руб.)</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2 600 (включая ПИР и СМР)</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Структура инвестиций (в процентах, %)</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100% частные инвестиции</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Простой и дисконтированный срок</w:t>
            </w:r>
          </w:p>
          <w:p w:rsidR="005F774E" w:rsidRDefault="000F2CF1">
            <w:pPr>
              <w:rPr>
                <w:rFonts w:ascii="Times New Roman" w:hAnsi="Times New Roman" w:cs="Times New Roman"/>
                <w:sz w:val="24"/>
                <w:szCs w:val="24"/>
              </w:rPr>
            </w:pPr>
            <w:r>
              <w:rPr>
                <w:rFonts w:ascii="Times New Roman" w:hAnsi="Times New Roman" w:cs="Times New Roman"/>
                <w:sz w:val="24"/>
                <w:szCs w:val="24"/>
              </w:rPr>
              <w:t>окупаемости (лет/мес.)</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13 лет (простой срок окупаемости)</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EBITDA (млн. руб.)</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bCs/>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Рентабельность по EBITDA (в %)</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bCs/>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Чистая приведенная стоимость (NPV,</w:t>
            </w:r>
          </w:p>
          <w:p w:rsidR="005F774E" w:rsidRDefault="000F2CF1">
            <w:pPr>
              <w:rPr>
                <w:rFonts w:ascii="Times New Roman" w:hAnsi="Times New Roman" w:cs="Times New Roman"/>
                <w:sz w:val="24"/>
                <w:szCs w:val="24"/>
              </w:rPr>
            </w:pPr>
            <w:r>
              <w:rPr>
                <w:rFonts w:ascii="Times New Roman" w:hAnsi="Times New Roman" w:cs="Times New Roman"/>
                <w:sz w:val="24"/>
                <w:szCs w:val="24"/>
              </w:rPr>
              <w:t>млн. руб.)</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Внутренняя норма доходности (IRR,</w:t>
            </w:r>
          </w:p>
          <w:p w:rsidR="005F774E" w:rsidRDefault="000F2CF1">
            <w:pPr>
              <w:rPr>
                <w:rFonts w:ascii="Times New Roman" w:hAnsi="Times New Roman" w:cs="Times New Roman"/>
                <w:sz w:val="24"/>
                <w:szCs w:val="24"/>
              </w:rPr>
            </w:pPr>
            <w:r>
              <w:rPr>
                <w:rFonts w:ascii="Times New Roman" w:hAnsi="Times New Roman" w:cs="Times New Roman"/>
                <w:sz w:val="24"/>
                <w:szCs w:val="24"/>
              </w:rPr>
              <w:t>в %)</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Ставка дисконтирования (в %)</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bCs/>
                <w:sz w:val="24"/>
                <w:szCs w:val="24"/>
              </w:rPr>
              <w:t>-</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lastRenderedPageBreak/>
              <w:t>Иные показатели</w:t>
            </w:r>
          </w:p>
        </w:tc>
        <w:tc>
          <w:tcPr>
            <w:tcW w:w="6025" w:type="dxa"/>
            <w:gridSpan w:val="2"/>
          </w:tcPr>
          <w:p w:rsidR="005F774E" w:rsidRDefault="000F2CF1">
            <w:pPr>
              <w:rPr>
                <w:rFonts w:ascii="Times New Roman" w:hAnsi="Times New Roman" w:cs="Times New Roman"/>
                <w:sz w:val="24"/>
                <w:szCs w:val="24"/>
              </w:rPr>
            </w:pPr>
            <w:r>
              <w:rPr>
                <w:rFonts w:ascii="Times New Roman" w:hAnsi="Times New Roman" w:cs="Times New Roman"/>
                <w:bCs/>
                <w:sz w:val="24"/>
                <w:szCs w:val="24"/>
              </w:rPr>
              <w:t xml:space="preserve">Расчетная выручка при горизонте планирования 20 лет (с учетом инвестиционной стадии) составляет 14 млрд руб. </w:t>
            </w:r>
          </w:p>
        </w:tc>
      </w:tr>
      <w:tr w:rsidR="005F774E" w:rsidTr="00CD6E68">
        <w:tc>
          <w:tcPr>
            <w:tcW w:w="4743" w:type="dxa"/>
            <w:gridSpan w:val="3"/>
          </w:tcPr>
          <w:p w:rsidR="005F774E" w:rsidRDefault="000F2CF1">
            <w:pPr>
              <w:rPr>
                <w:rFonts w:ascii="Times New Roman" w:hAnsi="Times New Roman" w:cs="Times New Roman"/>
                <w:sz w:val="24"/>
                <w:szCs w:val="24"/>
              </w:rPr>
            </w:pPr>
            <w:r>
              <w:rPr>
                <w:rFonts w:ascii="Times New Roman" w:hAnsi="Times New Roman" w:cs="Times New Roman"/>
                <w:sz w:val="24"/>
                <w:szCs w:val="24"/>
              </w:rPr>
              <w:t>Приложение (при наличии)</w:t>
            </w:r>
          </w:p>
        </w:tc>
        <w:tc>
          <w:tcPr>
            <w:tcW w:w="6025" w:type="dxa"/>
            <w:gridSpan w:val="2"/>
          </w:tcPr>
          <w:p w:rsidR="005F774E" w:rsidRDefault="000F2CF1">
            <w:pPr>
              <w:jc w:val="both"/>
              <w:rPr>
                <w:rFonts w:ascii="Times New Roman" w:hAnsi="Times New Roman" w:cs="Times New Roman"/>
                <w:sz w:val="24"/>
                <w:szCs w:val="24"/>
              </w:rPr>
            </w:pPr>
            <w:r>
              <w:rPr>
                <w:rFonts w:ascii="Times New Roman" w:hAnsi="Times New Roman" w:cs="Times New Roman"/>
                <w:sz w:val="24"/>
                <w:szCs w:val="24"/>
              </w:rPr>
              <w:t>-</w:t>
            </w:r>
          </w:p>
        </w:tc>
      </w:tr>
      <w:bookmarkEnd w:id="0"/>
    </w:tbl>
    <w:p w:rsidR="005F774E" w:rsidRDefault="005F774E">
      <w:pPr>
        <w:spacing w:after="0" w:line="240" w:lineRule="auto"/>
        <w:rPr>
          <w:rFonts w:ascii="Times New Roman" w:hAnsi="Times New Roman" w:cs="Times New Roman"/>
          <w:b/>
          <w:bCs/>
          <w:sz w:val="24"/>
          <w:szCs w:val="24"/>
        </w:rPr>
      </w:pPr>
    </w:p>
    <w:p w:rsidR="005F774E" w:rsidRDefault="005F774E">
      <w:pPr>
        <w:spacing w:after="0" w:line="240" w:lineRule="auto"/>
        <w:rPr>
          <w:rFonts w:ascii="Times New Roman" w:eastAsia="Times New Roman" w:hAnsi="Times New Roman" w:cs="Times New Roman"/>
          <w:sz w:val="24"/>
          <w:szCs w:val="24"/>
          <w:lang w:eastAsia="ru-RU"/>
        </w:rPr>
      </w:pPr>
    </w:p>
    <w:p w:rsidR="005F774E" w:rsidRDefault="005F774E">
      <w:pPr>
        <w:spacing w:after="0" w:line="240" w:lineRule="auto"/>
        <w:rPr>
          <w:rFonts w:ascii="Times New Roman" w:eastAsia="Times New Roman" w:hAnsi="Times New Roman" w:cs="Times New Roman"/>
          <w:sz w:val="24"/>
          <w:szCs w:val="24"/>
          <w:lang w:eastAsia="ru-RU"/>
        </w:rPr>
      </w:pPr>
    </w:p>
    <w:p w:rsidR="005F774E" w:rsidRDefault="005F774E">
      <w:pPr>
        <w:spacing w:after="0" w:line="240" w:lineRule="auto"/>
        <w:rPr>
          <w:rFonts w:ascii="Times New Roman" w:eastAsia="Times New Roman" w:hAnsi="Times New Roman" w:cs="Times New Roman"/>
          <w:sz w:val="24"/>
          <w:szCs w:val="24"/>
          <w:lang w:eastAsia="ru-RU"/>
        </w:rPr>
      </w:pPr>
    </w:p>
    <w:p w:rsidR="005F774E" w:rsidRDefault="005F774E">
      <w:pPr>
        <w:spacing w:after="0" w:line="240" w:lineRule="auto"/>
        <w:rPr>
          <w:rFonts w:ascii="Times New Roman" w:eastAsia="Times New Roman" w:hAnsi="Times New Roman" w:cs="Times New Roman"/>
          <w:sz w:val="24"/>
          <w:szCs w:val="24"/>
          <w:lang w:eastAsia="ru-RU"/>
        </w:rPr>
      </w:pPr>
    </w:p>
    <w:p w:rsidR="005F774E" w:rsidRDefault="005F774E">
      <w:pPr>
        <w:spacing w:after="0" w:line="240" w:lineRule="auto"/>
        <w:rPr>
          <w:rFonts w:ascii="Times New Roman" w:eastAsia="Times New Roman" w:hAnsi="Times New Roman" w:cs="Times New Roman"/>
          <w:sz w:val="24"/>
          <w:szCs w:val="24"/>
          <w:lang w:eastAsia="ru-RU"/>
        </w:rPr>
      </w:pPr>
    </w:p>
    <w:sectPr w:rsidR="005F774E" w:rsidSect="00CD6E68">
      <w:headerReference w:type="default" r:id="rId8"/>
      <w:footerReference w:type="default" r:id="rId9"/>
      <w:pgSz w:w="11906" w:h="16838"/>
      <w:pgMar w:top="426" w:right="720" w:bottom="28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CF1" w:rsidRDefault="000F2CF1">
      <w:pPr>
        <w:spacing w:after="0" w:line="240" w:lineRule="auto"/>
      </w:pPr>
      <w:r>
        <w:separator/>
      </w:r>
    </w:p>
  </w:endnote>
  <w:endnote w:type="continuationSeparator" w:id="0">
    <w:p w:rsidR="000F2CF1" w:rsidRDefault="000F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3917073"/>
      <w:showingPlcHdr/>
      <w:docPartObj>
        <w:docPartGallery w:val="Page Numbers (Bottom of Page)"/>
        <w:docPartUnique/>
      </w:docPartObj>
    </w:sdtPr>
    <w:sdtEndPr/>
    <w:sdtContent>
      <w:p w:rsidR="005F774E" w:rsidRDefault="000F2CF1">
        <w:pPr>
          <w:rPr>
            <w:rFonts w:ascii="Times New Roman" w:hAnsi="Times New Roman" w:cs="Times New Roman"/>
            <w:sz w:val="24"/>
            <w:szCs w:val="24"/>
          </w:rPr>
        </w:pPr>
        <w:r>
          <w:t>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CF1" w:rsidRDefault="000F2CF1">
      <w:pPr>
        <w:spacing w:after="0" w:line="240" w:lineRule="auto"/>
      </w:pPr>
      <w:r>
        <w:separator/>
      </w:r>
    </w:p>
  </w:footnote>
  <w:footnote w:type="continuationSeparator" w:id="0">
    <w:p w:rsidR="000F2CF1" w:rsidRDefault="000F2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74E" w:rsidRDefault="000F2CF1">
    <w:pPr>
      <w:pStyle w:val="af5"/>
      <w:jc w:val="center"/>
    </w:pPr>
    <w:r>
      <w:fldChar w:fldCharType="begin"/>
    </w:r>
    <w:r>
      <w:instrText>PAGE \* MERGEFORMAT</w:instrText>
    </w:r>
    <w:r>
      <w:fldChar w:fldCharType="separate"/>
    </w:r>
    <w:r w:rsidR="00CD6E68">
      <w:rPr>
        <w:noProof/>
      </w:rPr>
      <w:t>8</w:t>
    </w:r>
    <w:r>
      <w:fldChar w:fldCharType="end"/>
    </w:r>
  </w:p>
  <w:p w:rsidR="005F774E" w:rsidRDefault="005F774E">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11D77"/>
    <w:multiLevelType w:val="hybridMultilevel"/>
    <w:tmpl w:val="3EC6C05A"/>
    <w:lvl w:ilvl="0" w:tplc="CC4C0050">
      <w:start w:val="1"/>
      <w:numFmt w:val="decimal"/>
      <w:lvlText w:val="%1."/>
      <w:lvlJc w:val="left"/>
      <w:pPr>
        <w:ind w:left="720" w:hanging="360"/>
      </w:pPr>
      <w:rPr>
        <w:rFonts w:hint="default"/>
      </w:rPr>
    </w:lvl>
    <w:lvl w:ilvl="1" w:tplc="4ABC9534">
      <w:start w:val="1"/>
      <w:numFmt w:val="lowerLetter"/>
      <w:lvlText w:val="%2."/>
      <w:lvlJc w:val="left"/>
      <w:pPr>
        <w:ind w:left="1440" w:hanging="360"/>
      </w:pPr>
    </w:lvl>
    <w:lvl w:ilvl="2" w:tplc="4F6C5F7C">
      <w:start w:val="1"/>
      <w:numFmt w:val="lowerRoman"/>
      <w:lvlText w:val="%3."/>
      <w:lvlJc w:val="right"/>
      <w:pPr>
        <w:ind w:left="2160" w:hanging="180"/>
      </w:pPr>
    </w:lvl>
    <w:lvl w:ilvl="3" w:tplc="AC164018">
      <w:start w:val="1"/>
      <w:numFmt w:val="decimal"/>
      <w:lvlText w:val="%4."/>
      <w:lvlJc w:val="left"/>
      <w:pPr>
        <w:ind w:left="2880" w:hanging="360"/>
      </w:pPr>
    </w:lvl>
    <w:lvl w:ilvl="4" w:tplc="2C6453F4">
      <w:start w:val="1"/>
      <w:numFmt w:val="lowerLetter"/>
      <w:lvlText w:val="%5."/>
      <w:lvlJc w:val="left"/>
      <w:pPr>
        <w:ind w:left="3600" w:hanging="360"/>
      </w:pPr>
    </w:lvl>
    <w:lvl w:ilvl="5" w:tplc="4DBEF4AA">
      <w:start w:val="1"/>
      <w:numFmt w:val="lowerRoman"/>
      <w:lvlText w:val="%6."/>
      <w:lvlJc w:val="right"/>
      <w:pPr>
        <w:ind w:left="4320" w:hanging="180"/>
      </w:pPr>
    </w:lvl>
    <w:lvl w:ilvl="6" w:tplc="9F7621A4">
      <w:start w:val="1"/>
      <w:numFmt w:val="decimal"/>
      <w:lvlText w:val="%7."/>
      <w:lvlJc w:val="left"/>
      <w:pPr>
        <w:ind w:left="5040" w:hanging="360"/>
      </w:pPr>
    </w:lvl>
    <w:lvl w:ilvl="7" w:tplc="DD3CEC76">
      <w:start w:val="1"/>
      <w:numFmt w:val="lowerLetter"/>
      <w:lvlText w:val="%8."/>
      <w:lvlJc w:val="left"/>
      <w:pPr>
        <w:ind w:left="5760" w:hanging="360"/>
      </w:pPr>
    </w:lvl>
    <w:lvl w:ilvl="8" w:tplc="297E4FA2">
      <w:start w:val="1"/>
      <w:numFmt w:val="lowerRoman"/>
      <w:lvlText w:val="%9."/>
      <w:lvlJc w:val="right"/>
      <w:pPr>
        <w:ind w:left="6480" w:hanging="180"/>
      </w:pPr>
    </w:lvl>
  </w:abstractNum>
  <w:abstractNum w:abstractNumId="1" w15:restartNumberingAfterBreak="0">
    <w:nsid w:val="10177E62"/>
    <w:multiLevelType w:val="hybridMultilevel"/>
    <w:tmpl w:val="807C7AA6"/>
    <w:lvl w:ilvl="0" w:tplc="D16A87F4">
      <w:start w:val="1"/>
      <w:numFmt w:val="bullet"/>
      <w:lvlText w:val=""/>
      <w:lvlJc w:val="left"/>
      <w:pPr>
        <w:ind w:left="720" w:hanging="360"/>
      </w:pPr>
      <w:rPr>
        <w:rFonts w:ascii="Symbol" w:hAnsi="Symbol" w:hint="default"/>
      </w:rPr>
    </w:lvl>
    <w:lvl w:ilvl="1" w:tplc="07A6AC7A">
      <w:start w:val="1"/>
      <w:numFmt w:val="bullet"/>
      <w:lvlText w:val="o"/>
      <w:lvlJc w:val="left"/>
      <w:pPr>
        <w:ind w:left="1440" w:hanging="360"/>
      </w:pPr>
      <w:rPr>
        <w:rFonts w:ascii="Courier New" w:hAnsi="Courier New" w:cs="Courier New" w:hint="default"/>
      </w:rPr>
    </w:lvl>
    <w:lvl w:ilvl="2" w:tplc="3D40130E">
      <w:start w:val="1"/>
      <w:numFmt w:val="bullet"/>
      <w:lvlText w:val=""/>
      <w:lvlJc w:val="left"/>
      <w:pPr>
        <w:ind w:left="2160" w:hanging="360"/>
      </w:pPr>
      <w:rPr>
        <w:rFonts w:ascii="Wingdings" w:hAnsi="Wingdings" w:hint="default"/>
      </w:rPr>
    </w:lvl>
    <w:lvl w:ilvl="3" w:tplc="5708690E">
      <w:start w:val="1"/>
      <w:numFmt w:val="bullet"/>
      <w:lvlText w:val=""/>
      <w:lvlJc w:val="left"/>
      <w:pPr>
        <w:ind w:left="2880" w:hanging="360"/>
      </w:pPr>
      <w:rPr>
        <w:rFonts w:ascii="Symbol" w:hAnsi="Symbol" w:hint="default"/>
      </w:rPr>
    </w:lvl>
    <w:lvl w:ilvl="4" w:tplc="A48C11CC">
      <w:start w:val="1"/>
      <w:numFmt w:val="bullet"/>
      <w:lvlText w:val="o"/>
      <w:lvlJc w:val="left"/>
      <w:pPr>
        <w:ind w:left="3600" w:hanging="360"/>
      </w:pPr>
      <w:rPr>
        <w:rFonts w:ascii="Courier New" w:hAnsi="Courier New" w:cs="Courier New" w:hint="default"/>
      </w:rPr>
    </w:lvl>
    <w:lvl w:ilvl="5" w:tplc="FCC0FD2A">
      <w:start w:val="1"/>
      <w:numFmt w:val="bullet"/>
      <w:lvlText w:val=""/>
      <w:lvlJc w:val="left"/>
      <w:pPr>
        <w:ind w:left="4320" w:hanging="360"/>
      </w:pPr>
      <w:rPr>
        <w:rFonts w:ascii="Wingdings" w:hAnsi="Wingdings" w:hint="default"/>
      </w:rPr>
    </w:lvl>
    <w:lvl w:ilvl="6" w:tplc="CB46B698">
      <w:start w:val="1"/>
      <w:numFmt w:val="bullet"/>
      <w:lvlText w:val=""/>
      <w:lvlJc w:val="left"/>
      <w:pPr>
        <w:ind w:left="5040" w:hanging="360"/>
      </w:pPr>
      <w:rPr>
        <w:rFonts w:ascii="Symbol" w:hAnsi="Symbol" w:hint="default"/>
      </w:rPr>
    </w:lvl>
    <w:lvl w:ilvl="7" w:tplc="96D60FBA">
      <w:start w:val="1"/>
      <w:numFmt w:val="bullet"/>
      <w:lvlText w:val="o"/>
      <w:lvlJc w:val="left"/>
      <w:pPr>
        <w:ind w:left="5760" w:hanging="360"/>
      </w:pPr>
      <w:rPr>
        <w:rFonts w:ascii="Courier New" w:hAnsi="Courier New" w:cs="Courier New" w:hint="default"/>
      </w:rPr>
    </w:lvl>
    <w:lvl w:ilvl="8" w:tplc="B5EA836A">
      <w:start w:val="1"/>
      <w:numFmt w:val="bullet"/>
      <w:lvlText w:val=""/>
      <w:lvlJc w:val="left"/>
      <w:pPr>
        <w:ind w:left="6480" w:hanging="360"/>
      </w:pPr>
      <w:rPr>
        <w:rFonts w:ascii="Wingdings" w:hAnsi="Wingdings" w:hint="default"/>
      </w:rPr>
    </w:lvl>
  </w:abstractNum>
  <w:abstractNum w:abstractNumId="2" w15:restartNumberingAfterBreak="0">
    <w:nsid w:val="11B216AB"/>
    <w:multiLevelType w:val="hybridMultilevel"/>
    <w:tmpl w:val="AD007DB8"/>
    <w:lvl w:ilvl="0" w:tplc="A3381A18">
      <w:start w:val="1"/>
      <w:numFmt w:val="decimal"/>
      <w:lvlText w:val="%1)"/>
      <w:lvlJc w:val="left"/>
      <w:pPr>
        <w:ind w:left="720" w:hanging="360"/>
      </w:pPr>
      <w:rPr>
        <w:rFonts w:hint="default"/>
      </w:rPr>
    </w:lvl>
    <w:lvl w:ilvl="1" w:tplc="727EA58A">
      <w:start w:val="1"/>
      <w:numFmt w:val="lowerLetter"/>
      <w:lvlText w:val="%2."/>
      <w:lvlJc w:val="left"/>
      <w:pPr>
        <w:ind w:left="1440" w:hanging="360"/>
      </w:pPr>
    </w:lvl>
    <w:lvl w:ilvl="2" w:tplc="4CB4F25C">
      <w:start w:val="1"/>
      <w:numFmt w:val="lowerRoman"/>
      <w:lvlText w:val="%3."/>
      <w:lvlJc w:val="right"/>
      <w:pPr>
        <w:ind w:left="2160" w:hanging="180"/>
      </w:pPr>
    </w:lvl>
    <w:lvl w:ilvl="3" w:tplc="450C719C">
      <w:start w:val="1"/>
      <w:numFmt w:val="decimal"/>
      <w:lvlText w:val="%4."/>
      <w:lvlJc w:val="left"/>
      <w:pPr>
        <w:ind w:left="2880" w:hanging="360"/>
      </w:pPr>
    </w:lvl>
    <w:lvl w:ilvl="4" w:tplc="D0AC09E2">
      <w:start w:val="1"/>
      <w:numFmt w:val="lowerLetter"/>
      <w:lvlText w:val="%5."/>
      <w:lvlJc w:val="left"/>
      <w:pPr>
        <w:ind w:left="3600" w:hanging="360"/>
      </w:pPr>
    </w:lvl>
    <w:lvl w:ilvl="5" w:tplc="62BAE070">
      <w:start w:val="1"/>
      <w:numFmt w:val="lowerRoman"/>
      <w:lvlText w:val="%6."/>
      <w:lvlJc w:val="right"/>
      <w:pPr>
        <w:ind w:left="4320" w:hanging="180"/>
      </w:pPr>
    </w:lvl>
    <w:lvl w:ilvl="6" w:tplc="A406F4C0">
      <w:start w:val="1"/>
      <w:numFmt w:val="decimal"/>
      <w:lvlText w:val="%7."/>
      <w:lvlJc w:val="left"/>
      <w:pPr>
        <w:ind w:left="5040" w:hanging="360"/>
      </w:pPr>
    </w:lvl>
    <w:lvl w:ilvl="7" w:tplc="0D607A56">
      <w:start w:val="1"/>
      <w:numFmt w:val="lowerLetter"/>
      <w:lvlText w:val="%8."/>
      <w:lvlJc w:val="left"/>
      <w:pPr>
        <w:ind w:left="5760" w:hanging="360"/>
      </w:pPr>
    </w:lvl>
    <w:lvl w:ilvl="8" w:tplc="9988A5DE">
      <w:start w:val="1"/>
      <w:numFmt w:val="lowerRoman"/>
      <w:lvlText w:val="%9."/>
      <w:lvlJc w:val="right"/>
      <w:pPr>
        <w:ind w:left="6480" w:hanging="180"/>
      </w:pPr>
    </w:lvl>
  </w:abstractNum>
  <w:abstractNum w:abstractNumId="3" w15:restartNumberingAfterBreak="0">
    <w:nsid w:val="18AC46DA"/>
    <w:multiLevelType w:val="hybridMultilevel"/>
    <w:tmpl w:val="D0E8FCDC"/>
    <w:lvl w:ilvl="0" w:tplc="18C81E22">
      <w:start w:val="1"/>
      <w:numFmt w:val="decimal"/>
      <w:lvlText w:val="%1."/>
      <w:lvlJc w:val="left"/>
      <w:pPr>
        <w:ind w:left="720" w:hanging="360"/>
      </w:pPr>
      <w:rPr>
        <w:rFonts w:hint="default"/>
        <w:highlight w:val="white"/>
      </w:rPr>
    </w:lvl>
    <w:lvl w:ilvl="1" w:tplc="65EEC30A">
      <w:start w:val="1"/>
      <w:numFmt w:val="lowerLetter"/>
      <w:lvlText w:val="%2."/>
      <w:lvlJc w:val="left"/>
      <w:pPr>
        <w:ind w:left="1440" w:hanging="360"/>
      </w:pPr>
    </w:lvl>
    <w:lvl w:ilvl="2" w:tplc="F7DC46F8">
      <w:start w:val="1"/>
      <w:numFmt w:val="lowerRoman"/>
      <w:lvlText w:val="%3."/>
      <w:lvlJc w:val="right"/>
      <w:pPr>
        <w:ind w:left="2160" w:hanging="180"/>
      </w:pPr>
    </w:lvl>
    <w:lvl w:ilvl="3" w:tplc="1CF65276">
      <w:start w:val="1"/>
      <w:numFmt w:val="decimal"/>
      <w:lvlText w:val="%4."/>
      <w:lvlJc w:val="left"/>
      <w:pPr>
        <w:ind w:left="2880" w:hanging="360"/>
      </w:pPr>
    </w:lvl>
    <w:lvl w:ilvl="4" w:tplc="E4BA40A8">
      <w:start w:val="1"/>
      <w:numFmt w:val="lowerLetter"/>
      <w:lvlText w:val="%5."/>
      <w:lvlJc w:val="left"/>
      <w:pPr>
        <w:ind w:left="3600" w:hanging="360"/>
      </w:pPr>
    </w:lvl>
    <w:lvl w:ilvl="5" w:tplc="E2FA2C2A">
      <w:start w:val="1"/>
      <w:numFmt w:val="lowerRoman"/>
      <w:lvlText w:val="%6."/>
      <w:lvlJc w:val="right"/>
      <w:pPr>
        <w:ind w:left="4320" w:hanging="180"/>
      </w:pPr>
    </w:lvl>
    <w:lvl w:ilvl="6" w:tplc="CA325672">
      <w:start w:val="1"/>
      <w:numFmt w:val="decimal"/>
      <w:lvlText w:val="%7."/>
      <w:lvlJc w:val="left"/>
      <w:pPr>
        <w:ind w:left="5040" w:hanging="360"/>
      </w:pPr>
    </w:lvl>
    <w:lvl w:ilvl="7" w:tplc="D69E10E0">
      <w:start w:val="1"/>
      <w:numFmt w:val="lowerLetter"/>
      <w:lvlText w:val="%8."/>
      <w:lvlJc w:val="left"/>
      <w:pPr>
        <w:ind w:left="5760" w:hanging="360"/>
      </w:pPr>
    </w:lvl>
    <w:lvl w:ilvl="8" w:tplc="E4ECD78E">
      <w:start w:val="1"/>
      <w:numFmt w:val="lowerRoman"/>
      <w:lvlText w:val="%9."/>
      <w:lvlJc w:val="right"/>
      <w:pPr>
        <w:ind w:left="6480" w:hanging="180"/>
      </w:pPr>
    </w:lvl>
  </w:abstractNum>
  <w:abstractNum w:abstractNumId="4" w15:restartNumberingAfterBreak="0">
    <w:nsid w:val="2C1266C4"/>
    <w:multiLevelType w:val="hybridMultilevel"/>
    <w:tmpl w:val="4F76ED52"/>
    <w:lvl w:ilvl="0" w:tplc="EF006CFA">
      <w:start w:val="1"/>
      <w:numFmt w:val="bullet"/>
      <w:lvlText w:val=""/>
      <w:lvlJc w:val="left"/>
      <w:pPr>
        <w:ind w:left="720" w:hanging="360"/>
      </w:pPr>
      <w:rPr>
        <w:rFonts w:ascii="Symbol" w:hAnsi="Symbol" w:hint="default"/>
      </w:rPr>
    </w:lvl>
    <w:lvl w:ilvl="1" w:tplc="1E5068CA">
      <w:start w:val="1"/>
      <w:numFmt w:val="bullet"/>
      <w:lvlText w:val="o"/>
      <w:lvlJc w:val="left"/>
      <w:pPr>
        <w:ind w:left="1440" w:hanging="360"/>
      </w:pPr>
      <w:rPr>
        <w:rFonts w:ascii="Courier New" w:hAnsi="Courier New" w:cs="Courier New" w:hint="default"/>
      </w:rPr>
    </w:lvl>
    <w:lvl w:ilvl="2" w:tplc="7304E8F6">
      <w:start w:val="1"/>
      <w:numFmt w:val="bullet"/>
      <w:lvlText w:val=""/>
      <w:lvlJc w:val="left"/>
      <w:pPr>
        <w:ind w:left="2160" w:hanging="360"/>
      </w:pPr>
      <w:rPr>
        <w:rFonts w:ascii="Wingdings" w:hAnsi="Wingdings" w:hint="default"/>
      </w:rPr>
    </w:lvl>
    <w:lvl w:ilvl="3" w:tplc="E5D24530">
      <w:start w:val="1"/>
      <w:numFmt w:val="bullet"/>
      <w:lvlText w:val=""/>
      <w:lvlJc w:val="left"/>
      <w:pPr>
        <w:ind w:left="2880" w:hanging="360"/>
      </w:pPr>
      <w:rPr>
        <w:rFonts w:ascii="Symbol" w:hAnsi="Symbol" w:hint="default"/>
      </w:rPr>
    </w:lvl>
    <w:lvl w:ilvl="4" w:tplc="98EAEBB8">
      <w:start w:val="1"/>
      <w:numFmt w:val="bullet"/>
      <w:lvlText w:val="o"/>
      <w:lvlJc w:val="left"/>
      <w:pPr>
        <w:ind w:left="3600" w:hanging="360"/>
      </w:pPr>
      <w:rPr>
        <w:rFonts w:ascii="Courier New" w:hAnsi="Courier New" w:cs="Courier New" w:hint="default"/>
      </w:rPr>
    </w:lvl>
    <w:lvl w:ilvl="5" w:tplc="92F65A58">
      <w:start w:val="1"/>
      <w:numFmt w:val="bullet"/>
      <w:lvlText w:val=""/>
      <w:lvlJc w:val="left"/>
      <w:pPr>
        <w:ind w:left="4320" w:hanging="360"/>
      </w:pPr>
      <w:rPr>
        <w:rFonts w:ascii="Wingdings" w:hAnsi="Wingdings" w:hint="default"/>
      </w:rPr>
    </w:lvl>
    <w:lvl w:ilvl="6" w:tplc="6960FD84">
      <w:start w:val="1"/>
      <w:numFmt w:val="bullet"/>
      <w:lvlText w:val=""/>
      <w:lvlJc w:val="left"/>
      <w:pPr>
        <w:ind w:left="5040" w:hanging="360"/>
      </w:pPr>
      <w:rPr>
        <w:rFonts w:ascii="Symbol" w:hAnsi="Symbol" w:hint="default"/>
      </w:rPr>
    </w:lvl>
    <w:lvl w:ilvl="7" w:tplc="508EB1B6">
      <w:start w:val="1"/>
      <w:numFmt w:val="bullet"/>
      <w:lvlText w:val="o"/>
      <w:lvlJc w:val="left"/>
      <w:pPr>
        <w:ind w:left="5760" w:hanging="360"/>
      </w:pPr>
      <w:rPr>
        <w:rFonts w:ascii="Courier New" w:hAnsi="Courier New" w:cs="Courier New" w:hint="default"/>
      </w:rPr>
    </w:lvl>
    <w:lvl w:ilvl="8" w:tplc="2FC4BAD6">
      <w:start w:val="1"/>
      <w:numFmt w:val="bullet"/>
      <w:lvlText w:val=""/>
      <w:lvlJc w:val="left"/>
      <w:pPr>
        <w:ind w:left="6480" w:hanging="360"/>
      </w:pPr>
      <w:rPr>
        <w:rFonts w:ascii="Wingdings" w:hAnsi="Wingdings" w:hint="default"/>
      </w:rPr>
    </w:lvl>
  </w:abstractNum>
  <w:abstractNum w:abstractNumId="5" w15:restartNumberingAfterBreak="0">
    <w:nsid w:val="47484D98"/>
    <w:multiLevelType w:val="hybridMultilevel"/>
    <w:tmpl w:val="F8B0448E"/>
    <w:lvl w:ilvl="0" w:tplc="4C805F48">
      <w:start w:val="1"/>
      <w:numFmt w:val="decimal"/>
      <w:lvlText w:val="%1."/>
      <w:lvlJc w:val="left"/>
      <w:pPr>
        <w:ind w:left="720" w:hanging="360"/>
      </w:pPr>
      <w:rPr>
        <w:rFonts w:hint="default"/>
        <w:highlight w:val="white"/>
      </w:rPr>
    </w:lvl>
    <w:lvl w:ilvl="1" w:tplc="B296D440">
      <w:start w:val="1"/>
      <w:numFmt w:val="lowerLetter"/>
      <w:lvlText w:val="%2."/>
      <w:lvlJc w:val="left"/>
      <w:pPr>
        <w:ind w:left="1440" w:hanging="360"/>
      </w:pPr>
    </w:lvl>
    <w:lvl w:ilvl="2" w:tplc="34D05CC8">
      <w:start w:val="1"/>
      <w:numFmt w:val="lowerRoman"/>
      <w:lvlText w:val="%3."/>
      <w:lvlJc w:val="right"/>
      <w:pPr>
        <w:ind w:left="2160" w:hanging="180"/>
      </w:pPr>
    </w:lvl>
    <w:lvl w:ilvl="3" w:tplc="D02EFC94">
      <w:start w:val="1"/>
      <w:numFmt w:val="decimal"/>
      <w:lvlText w:val="%4."/>
      <w:lvlJc w:val="left"/>
      <w:pPr>
        <w:ind w:left="2880" w:hanging="360"/>
      </w:pPr>
    </w:lvl>
    <w:lvl w:ilvl="4" w:tplc="5C9C2B06">
      <w:start w:val="1"/>
      <w:numFmt w:val="lowerLetter"/>
      <w:lvlText w:val="%5."/>
      <w:lvlJc w:val="left"/>
      <w:pPr>
        <w:ind w:left="3600" w:hanging="360"/>
      </w:pPr>
    </w:lvl>
    <w:lvl w:ilvl="5" w:tplc="D482FF8A">
      <w:start w:val="1"/>
      <w:numFmt w:val="lowerRoman"/>
      <w:lvlText w:val="%6."/>
      <w:lvlJc w:val="right"/>
      <w:pPr>
        <w:ind w:left="4320" w:hanging="180"/>
      </w:pPr>
    </w:lvl>
    <w:lvl w:ilvl="6" w:tplc="0068FE50">
      <w:start w:val="1"/>
      <w:numFmt w:val="decimal"/>
      <w:lvlText w:val="%7."/>
      <w:lvlJc w:val="left"/>
      <w:pPr>
        <w:ind w:left="5040" w:hanging="360"/>
      </w:pPr>
    </w:lvl>
    <w:lvl w:ilvl="7" w:tplc="0C32370C">
      <w:start w:val="1"/>
      <w:numFmt w:val="lowerLetter"/>
      <w:lvlText w:val="%8."/>
      <w:lvlJc w:val="left"/>
      <w:pPr>
        <w:ind w:left="5760" w:hanging="360"/>
      </w:pPr>
    </w:lvl>
    <w:lvl w:ilvl="8" w:tplc="326002C8">
      <w:start w:val="1"/>
      <w:numFmt w:val="lowerRoman"/>
      <w:lvlText w:val="%9."/>
      <w:lvlJc w:val="right"/>
      <w:pPr>
        <w:ind w:left="6480" w:hanging="180"/>
      </w:pPr>
    </w:lvl>
  </w:abstractNum>
  <w:abstractNum w:abstractNumId="6" w15:restartNumberingAfterBreak="0">
    <w:nsid w:val="594B6CE5"/>
    <w:multiLevelType w:val="hybridMultilevel"/>
    <w:tmpl w:val="9F446FAE"/>
    <w:lvl w:ilvl="0" w:tplc="D44AC800">
      <w:start w:val="1"/>
      <w:numFmt w:val="bullet"/>
      <w:lvlText w:val=""/>
      <w:lvlJc w:val="left"/>
      <w:pPr>
        <w:ind w:left="720" w:hanging="360"/>
      </w:pPr>
      <w:rPr>
        <w:rFonts w:ascii="Symbol" w:hAnsi="Symbol" w:hint="default"/>
      </w:rPr>
    </w:lvl>
    <w:lvl w:ilvl="1" w:tplc="4224D286">
      <w:start w:val="1"/>
      <w:numFmt w:val="bullet"/>
      <w:lvlText w:val="o"/>
      <w:lvlJc w:val="left"/>
      <w:pPr>
        <w:ind w:left="1440" w:hanging="360"/>
      </w:pPr>
      <w:rPr>
        <w:rFonts w:ascii="Courier New" w:hAnsi="Courier New" w:cs="Courier New" w:hint="default"/>
      </w:rPr>
    </w:lvl>
    <w:lvl w:ilvl="2" w:tplc="1A18951A">
      <w:start w:val="1"/>
      <w:numFmt w:val="bullet"/>
      <w:lvlText w:val=""/>
      <w:lvlJc w:val="left"/>
      <w:pPr>
        <w:ind w:left="2160" w:hanging="360"/>
      </w:pPr>
      <w:rPr>
        <w:rFonts w:ascii="Wingdings" w:hAnsi="Wingdings" w:hint="default"/>
      </w:rPr>
    </w:lvl>
    <w:lvl w:ilvl="3" w:tplc="8606FDDC">
      <w:start w:val="1"/>
      <w:numFmt w:val="bullet"/>
      <w:lvlText w:val=""/>
      <w:lvlJc w:val="left"/>
      <w:pPr>
        <w:ind w:left="2880" w:hanging="360"/>
      </w:pPr>
      <w:rPr>
        <w:rFonts w:ascii="Symbol" w:hAnsi="Symbol" w:hint="default"/>
      </w:rPr>
    </w:lvl>
    <w:lvl w:ilvl="4" w:tplc="A44C73CE">
      <w:start w:val="1"/>
      <w:numFmt w:val="bullet"/>
      <w:lvlText w:val="o"/>
      <w:lvlJc w:val="left"/>
      <w:pPr>
        <w:ind w:left="3600" w:hanging="360"/>
      </w:pPr>
      <w:rPr>
        <w:rFonts w:ascii="Courier New" w:hAnsi="Courier New" w:cs="Courier New" w:hint="default"/>
      </w:rPr>
    </w:lvl>
    <w:lvl w:ilvl="5" w:tplc="27C288D8">
      <w:start w:val="1"/>
      <w:numFmt w:val="bullet"/>
      <w:lvlText w:val=""/>
      <w:lvlJc w:val="left"/>
      <w:pPr>
        <w:ind w:left="4320" w:hanging="360"/>
      </w:pPr>
      <w:rPr>
        <w:rFonts w:ascii="Wingdings" w:hAnsi="Wingdings" w:hint="default"/>
      </w:rPr>
    </w:lvl>
    <w:lvl w:ilvl="6" w:tplc="475CF280">
      <w:start w:val="1"/>
      <w:numFmt w:val="bullet"/>
      <w:lvlText w:val=""/>
      <w:lvlJc w:val="left"/>
      <w:pPr>
        <w:ind w:left="5040" w:hanging="360"/>
      </w:pPr>
      <w:rPr>
        <w:rFonts w:ascii="Symbol" w:hAnsi="Symbol" w:hint="default"/>
      </w:rPr>
    </w:lvl>
    <w:lvl w:ilvl="7" w:tplc="A5B2328E">
      <w:start w:val="1"/>
      <w:numFmt w:val="bullet"/>
      <w:lvlText w:val="o"/>
      <w:lvlJc w:val="left"/>
      <w:pPr>
        <w:ind w:left="5760" w:hanging="360"/>
      </w:pPr>
      <w:rPr>
        <w:rFonts w:ascii="Courier New" w:hAnsi="Courier New" w:cs="Courier New" w:hint="default"/>
      </w:rPr>
    </w:lvl>
    <w:lvl w:ilvl="8" w:tplc="B7D262D4">
      <w:start w:val="1"/>
      <w:numFmt w:val="bullet"/>
      <w:lvlText w:val=""/>
      <w:lvlJc w:val="left"/>
      <w:pPr>
        <w:ind w:left="6480" w:hanging="360"/>
      </w:pPr>
      <w:rPr>
        <w:rFonts w:ascii="Wingdings" w:hAnsi="Wingdings" w:hint="default"/>
      </w:rPr>
    </w:lvl>
  </w:abstractNum>
  <w:abstractNum w:abstractNumId="7" w15:restartNumberingAfterBreak="0">
    <w:nsid w:val="67EA5188"/>
    <w:multiLevelType w:val="hybridMultilevel"/>
    <w:tmpl w:val="4628F6BE"/>
    <w:lvl w:ilvl="0" w:tplc="8EAE230A">
      <w:start w:val="1"/>
      <w:numFmt w:val="decimal"/>
      <w:lvlText w:val="%1)"/>
      <w:lvlJc w:val="left"/>
      <w:pPr>
        <w:ind w:left="720" w:hanging="360"/>
      </w:pPr>
      <w:rPr>
        <w:rFonts w:hint="default"/>
      </w:rPr>
    </w:lvl>
    <w:lvl w:ilvl="1" w:tplc="A8DEFE00">
      <w:start w:val="1"/>
      <w:numFmt w:val="lowerLetter"/>
      <w:lvlText w:val="%2."/>
      <w:lvlJc w:val="left"/>
      <w:pPr>
        <w:ind w:left="1440" w:hanging="360"/>
      </w:pPr>
    </w:lvl>
    <w:lvl w:ilvl="2" w:tplc="ED94F08C">
      <w:start w:val="1"/>
      <w:numFmt w:val="lowerRoman"/>
      <w:lvlText w:val="%3."/>
      <w:lvlJc w:val="right"/>
      <w:pPr>
        <w:ind w:left="2160" w:hanging="180"/>
      </w:pPr>
    </w:lvl>
    <w:lvl w:ilvl="3" w:tplc="C4F69816">
      <w:start w:val="1"/>
      <w:numFmt w:val="decimal"/>
      <w:lvlText w:val="%4."/>
      <w:lvlJc w:val="left"/>
      <w:pPr>
        <w:ind w:left="2880" w:hanging="360"/>
      </w:pPr>
    </w:lvl>
    <w:lvl w:ilvl="4" w:tplc="0B60D0A4">
      <w:start w:val="1"/>
      <w:numFmt w:val="lowerLetter"/>
      <w:lvlText w:val="%5."/>
      <w:lvlJc w:val="left"/>
      <w:pPr>
        <w:ind w:left="3600" w:hanging="360"/>
      </w:pPr>
    </w:lvl>
    <w:lvl w:ilvl="5" w:tplc="B6568E5E">
      <w:start w:val="1"/>
      <w:numFmt w:val="lowerRoman"/>
      <w:lvlText w:val="%6."/>
      <w:lvlJc w:val="right"/>
      <w:pPr>
        <w:ind w:left="4320" w:hanging="180"/>
      </w:pPr>
    </w:lvl>
    <w:lvl w:ilvl="6" w:tplc="40487106">
      <w:start w:val="1"/>
      <w:numFmt w:val="decimal"/>
      <w:lvlText w:val="%7."/>
      <w:lvlJc w:val="left"/>
      <w:pPr>
        <w:ind w:left="5040" w:hanging="360"/>
      </w:pPr>
    </w:lvl>
    <w:lvl w:ilvl="7" w:tplc="7AB02AB0">
      <w:start w:val="1"/>
      <w:numFmt w:val="lowerLetter"/>
      <w:lvlText w:val="%8."/>
      <w:lvlJc w:val="left"/>
      <w:pPr>
        <w:ind w:left="5760" w:hanging="360"/>
      </w:pPr>
    </w:lvl>
    <w:lvl w:ilvl="8" w:tplc="076636C2">
      <w:start w:val="1"/>
      <w:numFmt w:val="lowerRoman"/>
      <w:lvlText w:val="%9."/>
      <w:lvlJc w:val="right"/>
      <w:pPr>
        <w:ind w:left="6480" w:hanging="180"/>
      </w:pPr>
    </w:lvl>
  </w:abstractNum>
  <w:abstractNum w:abstractNumId="8" w15:restartNumberingAfterBreak="0">
    <w:nsid w:val="68F95E69"/>
    <w:multiLevelType w:val="hybridMultilevel"/>
    <w:tmpl w:val="4A8EB260"/>
    <w:lvl w:ilvl="0" w:tplc="A7D64234">
      <w:start w:val="1"/>
      <w:numFmt w:val="decimal"/>
      <w:lvlText w:val="%1."/>
      <w:lvlJc w:val="left"/>
      <w:pPr>
        <w:ind w:left="1068" w:hanging="360"/>
      </w:pPr>
      <w:rPr>
        <w:rFonts w:hint="default"/>
      </w:rPr>
    </w:lvl>
    <w:lvl w:ilvl="1" w:tplc="4606BB56">
      <w:start w:val="1"/>
      <w:numFmt w:val="lowerLetter"/>
      <w:lvlText w:val="%2."/>
      <w:lvlJc w:val="left"/>
      <w:pPr>
        <w:ind w:left="1788" w:hanging="360"/>
      </w:pPr>
    </w:lvl>
    <w:lvl w:ilvl="2" w:tplc="7F46FFCA">
      <w:start w:val="1"/>
      <w:numFmt w:val="lowerRoman"/>
      <w:lvlText w:val="%3."/>
      <w:lvlJc w:val="right"/>
      <w:pPr>
        <w:ind w:left="2508" w:hanging="180"/>
      </w:pPr>
    </w:lvl>
    <w:lvl w:ilvl="3" w:tplc="737CBFC0">
      <w:start w:val="1"/>
      <w:numFmt w:val="decimal"/>
      <w:lvlText w:val="%4."/>
      <w:lvlJc w:val="left"/>
      <w:pPr>
        <w:ind w:left="3228" w:hanging="360"/>
      </w:pPr>
    </w:lvl>
    <w:lvl w:ilvl="4" w:tplc="9904BE48">
      <w:start w:val="1"/>
      <w:numFmt w:val="lowerLetter"/>
      <w:lvlText w:val="%5."/>
      <w:lvlJc w:val="left"/>
      <w:pPr>
        <w:ind w:left="3948" w:hanging="360"/>
      </w:pPr>
    </w:lvl>
    <w:lvl w:ilvl="5" w:tplc="87763506">
      <w:start w:val="1"/>
      <w:numFmt w:val="lowerRoman"/>
      <w:lvlText w:val="%6."/>
      <w:lvlJc w:val="right"/>
      <w:pPr>
        <w:ind w:left="4668" w:hanging="180"/>
      </w:pPr>
    </w:lvl>
    <w:lvl w:ilvl="6" w:tplc="7DCC6F40">
      <w:start w:val="1"/>
      <w:numFmt w:val="decimal"/>
      <w:lvlText w:val="%7."/>
      <w:lvlJc w:val="left"/>
      <w:pPr>
        <w:ind w:left="5388" w:hanging="360"/>
      </w:pPr>
    </w:lvl>
    <w:lvl w:ilvl="7" w:tplc="80386D1A">
      <w:start w:val="1"/>
      <w:numFmt w:val="lowerLetter"/>
      <w:lvlText w:val="%8."/>
      <w:lvlJc w:val="left"/>
      <w:pPr>
        <w:ind w:left="6108" w:hanging="360"/>
      </w:pPr>
    </w:lvl>
    <w:lvl w:ilvl="8" w:tplc="D64A7080">
      <w:start w:val="1"/>
      <w:numFmt w:val="lowerRoman"/>
      <w:lvlText w:val="%9."/>
      <w:lvlJc w:val="right"/>
      <w:pPr>
        <w:ind w:left="6828" w:hanging="180"/>
      </w:pPr>
    </w:lvl>
  </w:abstractNum>
  <w:abstractNum w:abstractNumId="9" w15:restartNumberingAfterBreak="0">
    <w:nsid w:val="7D351D6D"/>
    <w:multiLevelType w:val="hybridMultilevel"/>
    <w:tmpl w:val="1BC6C490"/>
    <w:lvl w:ilvl="0" w:tplc="74AED408">
      <w:start w:val="1"/>
      <w:numFmt w:val="decimal"/>
      <w:lvlText w:val="%1)"/>
      <w:lvlJc w:val="left"/>
      <w:pPr>
        <w:ind w:left="720" w:hanging="360"/>
      </w:pPr>
      <w:rPr>
        <w:rFonts w:hint="default"/>
      </w:rPr>
    </w:lvl>
    <w:lvl w:ilvl="1" w:tplc="EE444B8E">
      <w:start w:val="1"/>
      <w:numFmt w:val="lowerLetter"/>
      <w:lvlText w:val="%2."/>
      <w:lvlJc w:val="left"/>
      <w:pPr>
        <w:ind w:left="1440" w:hanging="360"/>
      </w:pPr>
    </w:lvl>
    <w:lvl w:ilvl="2" w:tplc="F87084CE">
      <w:start w:val="1"/>
      <w:numFmt w:val="lowerRoman"/>
      <w:lvlText w:val="%3."/>
      <w:lvlJc w:val="right"/>
      <w:pPr>
        <w:ind w:left="2160" w:hanging="180"/>
      </w:pPr>
    </w:lvl>
    <w:lvl w:ilvl="3" w:tplc="409E4B60">
      <w:start w:val="1"/>
      <w:numFmt w:val="decimal"/>
      <w:lvlText w:val="%4."/>
      <w:lvlJc w:val="left"/>
      <w:pPr>
        <w:ind w:left="2880" w:hanging="360"/>
      </w:pPr>
    </w:lvl>
    <w:lvl w:ilvl="4" w:tplc="2850DDB8">
      <w:start w:val="1"/>
      <w:numFmt w:val="lowerLetter"/>
      <w:lvlText w:val="%5."/>
      <w:lvlJc w:val="left"/>
      <w:pPr>
        <w:ind w:left="3600" w:hanging="360"/>
      </w:pPr>
    </w:lvl>
    <w:lvl w:ilvl="5" w:tplc="927C49AC">
      <w:start w:val="1"/>
      <w:numFmt w:val="lowerRoman"/>
      <w:lvlText w:val="%6."/>
      <w:lvlJc w:val="right"/>
      <w:pPr>
        <w:ind w:left="4320" w:hanging="180"/>
      </w:pPr>
    </w:lvl>
    <w:lvl w:ilvl="6" w:tplc="DCF0A642">
      <w:start w:val="1"/>
      <w:numFmt w:val="decimal"/>
      <w:lvlText w:val="%7."/>
      <w:lvlJc w:val="left"/>
      <w:pPr>
        <w:ind w:left="5040" w:hanging="360"/>
      </w:pPr>
    </w:lvl>
    <w:lvl w:ilvl="7" w:tplc="DB68C6FE">
      <w:start w:val="1"/>
      <w:numFmt w:val="lowerLetter"/>
      <w:lvlText w:val="%8."/>
      <w:lvlJc w:val="left"/>
      <w:pPr>
        <w:ind w:left="5760" w:hanging="360"/>
      </w:pPr>
    </w:lvl>
    <w:lvl w:ilvl="8" w:tplc="70D2C27E">
      <w:start w:val="1"/>
      <w:numFmt w:val="lowerRoman"/>
      <w:lvlText w:val="%9."/>
      <w:lvlJc w:val="right"/>
      <w:pPr>
        <w:ind w:left="6480" w:hanging="180"/>
      </w:pPr>
    </w:lvl>
  </w:abstractNum>
  <w:num w:numId="1">
    <w:abstractNumId w:val="8"/>
  </w:num>
  <w:num w:numId="2">
    <w:abstractNumId w:val="3"/>
  </w:num>
  <w:num w:numId="3">
    <w:abstractNumId w:val="4"/>
  </w:num>
  <w:num w:numId="4">
    <w:abstractNumId w:val="1"/>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2"/>
  </w:num>
  <w:num w:numId="10">
    <w:abstractNumId w:val="9"/>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4E"/>
    <w:rsid w:val="000F2CF1"/>
    <w:rsid w:val="005F774E"/>
    <w:rsid w:val="00B77B0E"/>
    <w:rsid w:val="00CD6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4DD5"/>
  <w15:docId w15:val="{068C90BA-FF07-47B9-A863-14E5D9B3B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Balloon Text"/>
    <w:basedOn w:val="a"/>
    <w:link w:val="af3"/>
    <w:uiPriority w:val="99"/>
    <w:semiHidden/>
    <w:unhideWhenUsed/>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Pr>
      <w:rFonts w:ascii="Tahoma" w:hAnsi="Tahoma" w:cs="Tahoma"/>
      <w:sz w:val="16"/>
      <w:szCs w:val="16"/>
    </w:rPr>
  </w:style>
  <w:style w:type="table" w:styleId="af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paragraph" w:customStyle="1" w:styleId="ConsPlusTitle">
    <w:name w:val="ConsPlusTitle"/>
    <w:pPr>
      <w:spacing w:after="0" w:line="240" w:lineRule="auto"/>
    </w:pPr>
    <w:rPr>
      <w:rFonts w:ascii="Times New Roman" w:eastAsia="Times New Roman" w:hAnsi="Times New Roman" w:cs="Times New Roman"/>
      <w:b/>
      <w:bCs/>
      <w:sz w:val="28"/>
      <w:szCs w:val="28"/>
    </w:rPr>
  </w:style>
  <w:style w:type="paragraph" w:styleId="af9">
    <w:name w:val="Body Text Indent"/>
    <w:basedOn w:val="a"/>
    <w:link w:val="afa"/>
    <w:pPr>
      <w:spacing w:after="120"/>
      <w:ind w:left="283"/>
    </w:pPr>
    <w:rPr>
      <w:rFonts w:ascii="Century Gothic" w:eastAsia="Times New Roman" w:hAnsi="Century Gothic" w:cs="Times New Roman"/>
      <w:lang w:val="en-US"/>
    </w:rPr>
  </w:style>
  <w:style w:type="character" w:customStyle="1" w:styleId="afa">
    <w:name w:val="Основной текст с отступом Знак"/>
    <w:basedOn w:val="a0"/>
    <w:link w:val="af9"/>
    <w:rPr>
      <w:rFonts w:ascii="Century Gothic" w:eastAsia="Times New Roman" w:hAnsi="Century Gothic" w:cs="Times New Roman"/>
      <w:lang w:val="en-US"/>
    </w:rPr>
  </w:style>
  <w:style w:type="paragraph" w:styleId="afb">
    <w:name w:val="No Spacing"/>
    <w:uiPriority w:val="1"/>
    <w:qFormat/>
    <w:pPr>
      <w:spacing w:after="0" w:line="240" w:lineRule="auto"/>
    </w:pPr>
  </w:style>
  <w:style w:type="character" w:styleId="afc">
    <w:name w:val="Hyperlink"/>
    <w:basedOn w:val="a0"/>
    <w:uiPriority w:val="99"/>
    <w:unhideWhenUsed/>
    <w:rPr>
      <w:color w:val="0000FF"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styleId="afd">
    <w:name w:val="line number"/>
    <w:basedOn w:val="a0"/>
    <w:uiPriority w:val="99"/>
    <w:semiHidden/>
    <w:unhideWhenUsed/>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e">
    <w:name w:val="List Paragraph"/>
    <w:basedOn w:val="a"/>
    <w:uiPriority w:val="34"/>
    <w:qFormat/>
    <w:pPr>
      <w:ind w:left="720"/>
      <w:contextualSpacing/>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 w:type="paragraph" w:styleId="aff">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6E9F4-372E-44C9-A52F-BBF3CD36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2291</Words>
  <Characters>13064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Мурашова Юлия Анатольевна</dc:creator>
  <cp:lastModifiedBy>Гурьева Виктория Викторовна</cp:lastModifiedBy>
  <cp:revision>3</cp:revision>
  <dcterms:created xsi:type="dcterms:W3CDTF">2024-12-04T04:20:00Z</dcterms:created>
  <dcterms:modified xsi:type="dcterms:W3CDTF">2026-10-01T04:42:00Z</dcterms:modified>
</cp:coreProperties>
</file>