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167" w:rsidRDefault="00F524E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Паспорт инвестиционного предложения</w:t>
      </w:r>
    </w:p>
    <w:p w:rsidR="00A73167" w:rsidRDefault="00A73167">
      <w:pPr>
        <w:spacing w:after="0" w:line="240" w:lineRule="auto"/>
        <w:rPr>
          <w:rFonts w:ascii="Times New Roman" w:hAnsi="Times New Roman" w:cs="Times New Roman"/>
          <w:b/>
          <w:bCs/>
          <w:sz w:val="24"/>
          <w:szCs w:val="24"/>
        </w:rPr>
      </w:pPr>
    </w:p>
    <w:tbl>
      <w:tblPr>
        <w:tblStyle w:val="af4"/>
        <w:tblW w:w="10768" w:type="dxa"/>
        <w:tblLayout w:type="fixed"/>
        <w:tblLook w:val="04A0" w:firstRow="1" w:lastRow="0" w:firstColumn="1" w:lastColumn="0" w:noHBand="0" w:noVBand="1"/>
      </w:tblPr>
      <w:tblGrid>
        <w:gridCol w:w="2361"/>
        <w:gridCol w:w="1036"/>
        <w:gridCol w:w="1346"/>
        <w:gridCol w:w="2311"/>
        <w:gridCol w:w="3714"/>
      </w:tblGrid>
      <w:tr w:rsidR="00A73167" w:rsidTr="00416A3D">
        <w:tc>
          <w:tcPr>
            <w:tcW w:w="10768" w:type="dxa"/>
            <w:gridSpan w:val="5"/>
          </w:tcPr>
          <w:p w:rsidR="00A73167" w:rsidRDefault="00F524E7">
            <w:pPr>
              <w:jc w:val="center"/>
              <w:rPr>
                <w:rFonts w:ascii="Times New Roman" w:hAnsi="Times New Roman" w:cs="Times New Roman"/>
                <w:sz w:val="24"/>
                <w:szCs w:val="24"/>
              </w:rPr>
            </w:pPr>
            <w:bookmarkStart w:id="0" w:name="_GoBack"/>
            <w:r>
              <w:rPr>
                <w:rFonts w:ascii="Times New Roman" w:hAnsi="Times New Roman" w:cs="Times New Roman"/>
                <w:sz w:val="24"/>
                <w:szCs w:val="24"/>
              </w:rPr>
              <w:t>Основные характеристики инвестиционного проекта</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Наименование инвестиционного проекта</w:t>
            </w:r>
          </w:p>
        </w:tc>
        <w:tc>
          <w:tcPr>
            <w:tcW w:w="7371" w:type="dxa"/>
            <w:gridSpan w:val="3"/>
          </w:tcPr>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 xml:space="preserve">Создание медицинского центра на территории научно-технологического центра в городе Сургуте </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Субъект Российской Федерации</w:t>
            </w:r>
          </w:p>
        </w:tc>
        <w:tc>
          <w:tcPr>
            <w:tcW w:w="7371" w:type="dxa"/>
            <w:gridSpan w:val="3"/>
          </w:tcPr>
          <w:p w:rsidR="00A73167" w:rsidRDefault="00F524E7">
            <w:pPr>
              <w:rPr>
                <w:rFonts w:ascii="Times New Roman" w:hAnsi="Times New Roman" w:cs="Times New Roman"/>
                <w:sz w:val="24"/>
                <w:szCs w:val="24"/>
              </w:rPr>
            </w:pPr>
            <w:r>
              <w:rPr>
                <w:rFonts w:ascii="Times New Roman" w:hAnsi="Times New Roman" w:cs="Times New Roman"/>
                <w:bCs/>
                <w:sz w:val="24"/>
                <w:szCs w:val="24"/>
              </w:rPr>
              <w:t>Ханты-Мансийский автономный округ – Югра</w:t>
            </w:r>
          </w:p>
          <w:p w:rsidR="00A73167" w:rsidRDefault="00F524E7">
            <w:pPr>
              <w:rPr>
                <w:rFonts w:ascii="Times New Roman" w:hAnsi="Times New Roman" w:cs="Times New Roman"/>
                <w:sz w:val="24"/>
                <w:szCs w:val="24"/>
              </w:rPr>
            </w:pPr>
            <w:r>
              <w:rPr>
                <w:rFonts w:ascii="Times New Roman" w:hAnsi="Times New Roman" w:cs="Times New Roman"/>
                <w:bCs/>
                <w:sz w:val="24"/>
                <w:szCs w:val="24"/>
              </w:rPr>
              <w:t>г. Сургут</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Цель инвестиционного проекта</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Предоставление качественной и доступной медицинской помощи студентам, научно-педагогическим работникам, сотрудникам Центра и их семьям, а также удовлетворение потребностей в сохранении и улучшении здоровья горожан</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Краткое описание инвестиционного</w:t>
            </w:r>
          </w:p>
          <w:p w:rsidR="00A73167" w:rsidRDefault="00F524E7">
            <w:pPr>
              <w:rPr>
                <w:rFonts w:ascii="Times New Roman" w:hAnsi="Times New Roman" w:cs="Times New Roman"/>
                <w:sz w:val="24"/>
                <w:szCs w:val="24"/>
              </w:rPr>
            </w:pPr>
            <w:r>
              <w:rPr>
                <w:rFonts w:ascii="Times New Roman" w:hAnsi="Times New Roman" w:cs="Times New Roman"/>
                <w:sz w:val="24"/>
                <w:szCs w:val="24"/>
              </w:rPr>
              <w:t>проекта</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В г. Сургуте Ханты-Мансийского автономного округа – Югры на основании Постановления Правительства Российской Федерации от 02.08.2023 № 1255 «О создании инновационного научно-технологического центра «ЮНИТИ ПАРК» создается единственный инновационный научно-технологический центр на территории Уральского Федерального округа, состоящий из научно-технологического парка, объектов инновационной, научно-технологической деятельности и исследовательских лабораторий.</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Приоритетными направлениями инновационной научно-технологической деятельности ИНТЦ «ЮНИТИ ПАРК» являются:</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 xml:space="preserve">разработка технологий в области топливно-энергетической безопасности: технологии добычи </w:t>
            </w:r>
            <w:proofErr w:type="spellStart"/>
            <w:r>
              <w:rPr>
                <w:rFonts w:ascii="Times New Roman" w:hAnsi="Times New Roman" w:cs="Times New Roman"/>
                <w:bCs/>
                <w:sz w:val="24"/>
                <w:szCs w:val="24"/>
              </w:rPr>
              <w:t>трудноизвлекаемых</w:t>
            </w:r>
            <w:proofErr w:type="spellEnd"/>
            <w:r>
              <w:rPr>
                <w:rFonts w:ascii="Times New Roman" w:hAnsi="Times New Roman" w:cs="Times New Roman"/>
                <w:bCs/>
                <w:sz w:val="24"/>
                <w:szCs w:val="24"/>
              </w:rPr>
              <w:t xml:space="preserve"> запасов нефти, прикладная геология, малотоннажная нефтехимия и материалы энергоэффективного строительства;</w:t>
            </w:r>
          </w:p>
          <w:p w:rsidR="00A73167" w:rsidRDefault="00F524E7">
            <w:pPr>
              <w:jc w:val="both"/>
              <w:rPr>
                <w:rFonts w:ascii="Times New Roman" w:hAnsi="Times New Roman" w:cs="Times New Roman"/>
                <w:sz w:val="24"/>
                <w:szCs w:val="24"/>
              </w:rPr>
            </w:pPr>
            <w:proofErr w:type="spellStart"/>
            <w:r>
              <w:rPr>
                <w:rFonts w:ascii="Times New Roman" w:hAnsi="Times New Roman" w:cs="Times New Roman"/>
                <w:bCs/>
                <w:sz w:val="24"/>
                <w:szCs w:val="24"/>
              </w:rPr>
              <w:t>здоровьесбережение</w:t>
            </w:r>
            <w:proofErr w:type="spellEnd"/>
            <w:r>
              <w:rPr>
                <w:rFonts w:ascii="Times New Roman" w:hAnsi="Times New Roman" w:cs="Times New Roman"/>
                <w:bCs/>
                <w:sz w:val="24"/>
                <w:szCs w:val="24"/>
              </w:rPr>
              <w:t xml:space="preserve"> и качество жизни населения;</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передовые инженерные технологии и новые материалы, адаптированные к условиям Севера и Арктики.</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ИНТЦ «ЮНИТИ ПАРК» станет объектом притяжения для бизнеса, научных сообществ, населения, визитной карточкой автономного округа. С целью интеграции объекта в общественную и деловую жизнь региона на территории Центра требуется создание деловой, социально-культурной инфраструктуры.</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Одним из таких объектов, обеспечивающих социальное развитие ИНТЦ «ЮНИТИ ПАРК», является медицинский центр.</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Медицинский центр площадью 5050 м</w:t>
            </w:r>
            <w:r>
              <w:rPr>
                <w:rFonts w:ascii="Times New Roman" w:hAnsi="Times New Roman" w:cs="Times New Roman"/>
                <w:bCs/>
                <w:sz w:val="24"/>
                <w:szCs w:val="24"/>
                <w:vertAlign w:val="superscript"/>
              </w:rPr>
              <w:t>2</w:t>
            </w:r>
            <w:r>
              <w:rPr>
                <w:rFonts w:ascii="Times New Roman" w:hAnsi="Times New Roman" w:cs="Times New Roman"/>
                <w:bCs/>
                <w:sz w:val="24"/>
                <w:szCs w:val="24"/>
              </w:rPr>
              <w:t xml:space="preserve"> будет включать следующие отделения: амбулаторно-поликлиническое взрослое и детское, лучевой диагностики, приемное отделение, операционный блок, дневной и круглосуточный стационар для взрослого населения, терапевтическое отделение для оказания услуг по ОМС. Помимо медицинского центра, на территории ИНТЦ в составе деловой и социально-культурной инфраструктуры будут созданы спортивно-досуговые объекты, жилые кварталы с комфортными условиями проживания, школа и детские сады, </w:t>
            </w:r>
            <w:proofErr w:type="spellStart"/>
            <w:r>
              <w:rPr>
                <w:rFonts w:ascii="Times New Roman" w:hAnsi="Times New Roman" w:cs="Times New Roman"/>
                <w:bCs/>
                <w:sz w:val="24"/>
                <w:szCs w:val="24"/>
              </w:rPr>
              <w:t>конгрессно</w:t>
            </w:r>
            <w:proofErr w:type="spellEnd"/>
            <w:r>
              <w:rPr>
                <w:rFonts w:ascii="Times New Roman" w:hAnsi="Times New Roman" w:cs="Times New Roman"/>
                <w:bCs/>
                <w:sz w:val="24"/>
                <w:szCs w:val="24"/>
              </w:rPr>
              <w:t>-выставочный центр, культурно-досуговый комплекс, многофункциональный офисный центр, дом детского творчества, технические зоны, прогулочные зоны и зоны отдыха, гостиничные комплексы, места общего пользования.</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 xml:space="preserve">Территория создания ИНТЦ будет обеспечена инженерной и транспортной инфраструктурой: парковки, остановки общественного транспорта, объекты инженерной и транспортной инфраструктуры, строительство которых обеспечит коммунальные ресурсы, транспортную и пешеходную доступность, а также хозяйственные зоны для размещения котельных и трансформаторных подстанций. Создание и эксплуатация объектов инженерной и транспортной </w:t>
            </w:r>
            <w:r>
              <w:rPr>
                <w:rFonts w:ascii="Times New Roman" w:hAnsi="Times New Roman" w:cs="Times New Roman"/>
                <w:bCs/>
                <w:sz w:val="24"/>
                <w:szCs w:val="24"/>
              </w:rPr>
              <w:lastRenderedPageBreak/>
              <w:t>инфраструктуры будет осуществлять муниципальное образование г. Сургута.</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Отрасль экономики, в которой</w:t>
            </w:r>
          </w:p>
          <w:p w:rsidR="00A73167" w:rsidRDefault="00F524E7">
            <w:pPr>
              <w:rPr>
                <w:rFonts w:ascii="Times New Roman" w:hAnsi="Times New Roman" w:cs="Times New Roman"/>
                <w:sz w:val="24"/>
                <w:szCs w:val="24"/>
              </w:rPr>
            </w:pPr>
            <w:r>
              <w:rPr>
                <w:rFonts w:ascii="Times New Roman" w:hAnsi="Times New Roman" w:cs="Times New Roman"/>
                <w:sz w:val="24"/>
                <w:szCs w:val="24"/>
              </w:rPr>
              <w:t>планируется реализация</w:t>
            </w:r>
          </w:p>
          <w:p w:rsidR="00A73167" w:rsidRDefault="00F524E7">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Здравоохранение</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Срок и этапы реализации</w:t>
            </w:r>
          </w:p>
          <w:p w:rsidR="00A73167" w:rsidRDefault="00F524E7">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До 48 месяцев:</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Прединвестиционный (проектирование)</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 xml:space="preserve">Инвестиционный (строительство) </w:t>
            </w:r>
          </w:p>
          <w:p w:rsidR="00A73167" w:rsidRDefault="00F524E7">
            <w:pPr>
              <w:rPr>
                <w:rFonts w:ascii="Times New Roman" w:hAnsi="Times New Roman" w:cs="Times New Roman"/>
                <w:bCs/>
                <w:sz w:val="24"/>
                <w:szCs w:val="24"/>
              </w:rPr>
            </w:pPr>
            <w:r>
              <w:rPr>
                <w:rFonts w:ascii="Times New Roman" w:hAnsi="Times New Roman" w:cs="Times New Roman"/>
                <w:bCs/>
                <w:sz w:val="24"/>
                <w:szCs w:val="24"/>
              </w:rPr>
              <w:t>Эксплуатационный (осуществление деятельности)</w:t>
            </w:r>
          </w:p>
        </w:tc>
      </w:tr>
      <w:tr w:rsidR="00A73167" w:rsidTr="00416A3D">
        <w:trPr>
          <w:trHeight w:val="326"/>
        </w:trPr>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Территория реализации инвестиционного проекта</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г. Сургут Ханты-Мансийского автономного округа – Югры</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Планируемая к выпуску</w:t>
            </w:r>
          </w:p>
          <w:p w:rsidR="00A73167" w:rsidRDefault="00F524E7">
            <w:pPr>
              <w:rPr>
                <w:rFonts w:ascii="Times New Roman" w:hAnsi="Times New Roman" w:cs="Times New Roman"/>
                <w:sz w:val="24"/>
                <w:szCs w:val="24"/>
              </w:rPr>
            </w:pPr>
            <w:r>
              <w:rPr>
                <w:rFonts w:ascii="Times New Roman" w:hAnsi="Times New Roman" w:cs="Times New Roman"/>
                <w:sz w:val="24"/>
                <w:szCs w:val="24"/>
              </w:rPr>
              <w:t>продукция/оказываемая услуга</w:t>
            </w:r>
          </w:p>
        </w:tc>
        <w:tc>
          <w:tcPr>
            <w:tcW w:w="7371" w:type="dxa"/>
            <w:gridSpan w:val="3"/>
          </w:tcPr>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Предоставление медицинских услуг студентам, научно-педагогическим работникам, сотрудникам Центра и их семьям, горожанам</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Тип инвестиционного проекта (новое производство/ модернизация действующего производства)</w:t>
            </w:r>
          </w:p>
        </w:tc>
        <w:tc>
          <w:tcPr>
            <w:tcW w:w="7371" w:type="dxa"/>
            <w:gridSpan w:val="3"/>
          </w:tcPr>
          <w:p w:rsidR="00A73167" w:rsidRDefault="00F524E7">
            <w:pPr>
              <w:tabs>
                <w:tab w:val="left" w:pos="907"/>
              </w:tabs>
              <w:rPr>
                <w:rFonts w:ascii="Times New Roman" w:hAnsi="Times New Roman" w:cs="Times New Roman"/>
                <w:bCs/>
                <w:sz w:val="24"/>
                <w:szCs w:val="24"/>
              </w:rPr>
            </w:pPr>
            <w:r>
              <w:rPr>
                <w:rFonts w:ascii="Times New Roman" w:hAnsi="Times New Roman" w:cs="Times New Roman"/>
                <w:bCs/>
                <w:sz w:val="24"/>
                <w:szCs w:val="24"/>
              </w:rPr>
              <w:t>Новое производство</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Предполагаемые сроки получения исходно-разрешительной документации, необходимой для реализации</w:t>
            </w:r>
          </w:p>
          <w:p w:rsidR="00A73167" w:rsidRDefault="00F524E7">
            <w:pPr>
              <w:rPr>
                <w:rFonts w:ascii="Times New Roman" w:hAnsi="Times New Roman" w:cs="Times New Roman"/>
                <w:sz w:val="24"/>
                <w:szCs w:val="24"/>
              </w:rPr>
            </w:pPr>
            <w:r>
              <w:rPr>
                <w:rFonts w:ascii="Times New Roman" w:hAnsi="Times New Roman" w:cs="Times New Roman"/>
                <w:sz w:val="24"/>
                <w:szCs w:val="24"/>
              </w:rPr>
              <w:t>инвестиционного проекта (дней/мес.) (опционально)</w:t>
            </w:r>
          </w:p>
        </w:tc>
        <w:tc>
          <w:tcPr>
            <w:tcW w:w="7371" w:type="dxa"/>
            <w:gridSpan w:val="3"/>
          </w:tcPr>
          <w:p w:rsidR="00A73167" w:rsidRDefault="00F524E7">
            <w:pPr>
              <w:jc w:val="both"/>
              <w:rPr>
                <w:rFonts w:ascii="Times New Roman" w:hAnsi="Times New Roman" w:cs="Times New Roman"/>
                <w:b/>
                <w:bCs/>
                <w:sz w:val="24"/>
                <w:szCs w:val="24"/>
              </w:rPr>
            </w:pPr>
            <w:r>
              <w:rPr>
                <w:rFonts w:ascii="Times New Roman" w:hAnsi="Times New Roman" w:cs="Times New Roman"/>
                <w:sz w:val="24"/>
                <w:szCs w:val="24"/>
              </w:rPr>
              <w:t>От 6 до 12 месяцев</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Стадия инвестиционного проекта</w:t>
            </w:r>
          </w:p>
        </w:tc>
        <w:tc>
          <w:tcPr>
            <w:tcW w:w="7371" w:type="dxa"/>
            <w:gridSpan w:val="3"/>
          </w:tcPr>
          <w:p w:rsidR="00A73167" w:rsidRDefault="00F524E7">
            <w:pPr>
              <w:rPr>
                <w:rFonts w:ascii="Times New Roman" w:hAnsi="Times New Roman" w:cs="Times New Roman"/>
                <w:bCs/>
                <w:sz w:val="24"/>
                <w:szCs w:val="24"/>
              </w:rPr>
            </w:pPr>
            <w:proofErr w:type="spellStart"/>
            <w:r>
              <w:rPr>
                <w:rFonts w:ascii="Times New Roman" w:hAnsi="Times New Roman" w:cs="Times New Roman"/>
                <w:bCs/>
                <w:sz w:val="24"/>
                <w:szCs w:val="24"/>
              </w:rPr>
              <w:t>Предынвестиционная</w:t>
            </w:r>
            <w:proofErr w:type="spellEnd"/>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Объемы потребления (внутри субъекта Российской Федерации либо за его</w:t>
            </w:r>
          </w:p>
          <w:p w:rsidR="00A73167" w:rsidRDefault="00F524E7">
            <w:pPr>
              <w:rPr>
                <w:rFonts w:ascii="Times New Roman" w:hAnsi="Times New Roman" w:cs="Times New Roman"/>
                <w:sz w:val="24"/>
                <w:szCs w:val="24"/>
              </w:rPr>
            </w:pPr>
            <w:r>
              <w:rPr>
                <w:rFonts w:ascii="Times New Roman" w:hAnsi="Times New Roman" w:cs="Times New Roman"/>
                <w:sz w:val="24"/>
                <w:szCs w:val="24"/>
              </w:rPr>
              <w:t>пределами) (в денежном эквиваленте)</w:t>
            </w:r>
          </w:p>
        </w:tc>
        <w:tc>
          <w:tcPr>
            <w:tcW w:w="7371" w:type="dxa"/>
            <w:gridSpan w:val="3"/>
          </w:tcPr>
          <w:p w:rsidR="00A73167" w:rsidRDefault="00F524E7">
            <w:pPr>
              <w:jc w:val="both"/>
              <w:rPr>
                <w:rFonts w:ascii="Times New Roman" w:hAnsi="Times New Roman" w:cs="Times New Roman"/>
                <w:sz w:val="24"/>
                <w:szCs w:val="24"/>
              </w:rPr>
            </w:pPr>
            <w:r>
              <w:rPr>
                <w:rFonts w:ascii="Times New Roman" w:hAnsi="Times New Roman" w:cs="Times New Roman"/>
                <w:sz w:val="24"/>
                <w:szCs w:val="24"/>
              </w:rPr>
              <w:t xml:space="preserve">В Югре – 1 759 386 человек, в РФ – </w:t>
            </w:r>
            <w:r>
              <w:rPr>
                <w:rFonts w:ascii="Times New Roman" w:eastAsia="Times New Roman" w:hAnsi="Times New Roman" w:cs="Times New Roman"/>
                <w:color w:val="000000"/>
                <w:sz w:val="24"/>
              </w:rPr>
              <w:t xml:space="preserve">1 281 400 человек </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Возможность масштабирования и (или)</w:t>
            </w:r>
          </w:p>
          <w:p w:rsidR="00A73167" w:rsidRDefault="00F524E7">
            <w:pPr>
              <w:rPr>
                <w:rFonts w:ascii="Times New Roman" w:hAnsi="Times New Roman" w:cs="Times New Roman"/>
                <w:sz w:val="24"/>
                <w:szCs w:val="24"/>
              </w:rPr>
            </w:pPr>
            <w:r>
              <w:rPr>
                <w:rFonts w:ascii="Times New Roman" w:hAnsi="Times New Roman" w:cs="Times New Roman"/>
                <w:sz w:val="24"/>
                <w:szCs w:val="24"/>
              </w:rPr>
              <w:t>фрагментации производства</w:t>
            </w:r>
          </w:p>
          <w:p w:rsidR="00A73167" w:rsidRDefault="00A73167">
            <w:pPr>
              <w:rPr>
                <w:rFonts w:ascii="Times New Roman" w:hAnsi="Times New Roman" w:cs="Times New Roman"/>
                <w:sz w:val="24"/>
                <w:szCs w:val="24"/>
              </w:rPr>
            </w:pPr>
          </w:p>
        </w:tc>
        <w:tc>
          <w:tcPr>
            <w:tcW w:w="7371" w:type="dxa"/>
            <w:gridSpan w:val="3"/>
          </w:tcPr>
          <w:p w:rsidR="00A73167" w:rsidRDefault="00F524E7">
            <w:pPr>
              <w:jc w:val="both"/>
              <w:rPr>
                <w:rFonts w:ascii="Times New Roman" w:hAnsi="Times New Roman" w:cs="Times New Roman"/>
                <w:sz w:val="24"/>
                <w:szCs w:val="24"/>
              </w:rPr>
            </w:pPr>
            <w:r>
              <w:rPr>
                <w:rFonts w:ascii="Times New Roman" w:hAnsi="Times New Roman" w:cs="Times New Roman"/>
                <w:sz w:val="24"/>
                <w:szCs w:val="24"/>
              </w:rPr>
              <w:t xml:space="preserve">В перспективе проект может быть масштабирован для создания аналогичных объектов в других крупных городах автономного округа (Ханты-Мансийск, Нижневартовск, Нефтеюганск). </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Описание характеристик создаваемых или реконструируемых объектов</w:t>
            </w:r>
          </w:p>
        </w:tc>
        <w:tc>
          <w:tcPr>
            <w:tcW w:w="7371" w:type="dxa"/>
            <w:gridSpan w:val="3"/>
          </w:tcPr>
          <w:p w:rsidR="00A73167" w:rsidRDefault="00F524E7">
            <w:pPr>
              <w:pStyle w:val="Default"/>
              <w:jc w:val="both"/>
              <w:rPr>
                <w:color w:val="auto"/>
              </w:rPr>
            </w:pPr>
            <w:r>
              <w:rPr>
                <w:color w:val="auto"/>
              </w:rPr>
              <w:t>Площадь готового объекта (</w:t>
            </w:r>
            <w:r>
              <w:rPr>
                <w:color w:val="auto"/>
                <w:lang w:val="en-US"/>
              </w:rPr>
              <w:t>GBA</w:t>
            </w:r>
            <w:r>
              <w:rPr>
                <w:color w:val="auto"/>
              </w:rPr>
              <w:t>): 5050 м</w:t>
            </w:r>
            <w:r>
              <w:rPr>
                <w:color w:val="auto"/>
                <w:vertAlign w:val="superscript"/>
              </w:rPr>
              <w:t>2</w:t>
            </w:r>
            <w:r>
              <w:rPr>
                <w:color w:val="auto"/>
              </w:rPr>
              <w:t>.</w:t>
            </w:r>
          </w:p>
          <w:p w:rsidR="00A73167" w:rsidRDefault="00F524E7">
            <w:pPr>
              <w:pStyle w:val="Default"/>
              <w:jc w:val="both"/>
              <w:rPr>
                <w:color w:val="auto"/>
              </w:rPr>
            </w:pPr>
            <w:r>
              <w:rPr>
                <w:color w:val="auto"/>
              </w:rPr>
              <w:t>Этажность объекта: 4 этажа.</w:t>
            </w:r>
          </w:p>
          <w:p w:rsidR="00A73167" w:rsidRDefault="00F524E7">
            <w:pPr>
              <w:pStyle w:val="Default"/>
              <w:jc w:val="both"/>
              <w:rPr>
                <w:color w:val="auto"/>
              </w:rPr>
            </w:pPr>
            <w:r>
              <w:rPr>
                <w:color w:val="auto"/>
              </w:rPr>
              <w:t>Высота объекта: 12 м.</w:t>
            </w:r>
          </w:p>
          <w:p w:rsidR="00A73167" w:rsidRDefault="00F524E7">
            <w:pPr>
              <w:pStyle w:val="Default"/>
              <w:jc w:val="both"/>
              <w:rPr>
                <w:color w:val="auto"/>
              </w:rPr>
            </w:pPr>
            <w:r>
              <w:rPr>
                <w:color w:val="auto"/>
              </w:rPr>
              <w:t>Мощность (производительность): 380 посетителей в сутки/ 760 в смену</w:t>
            </w:r>
          </w:p>
        </w:tc>
      </w:tr>
      <w:tr w:rsidR="00A73167" w:rsidTr="00416A3D">
        <w:tc>
          <w:tcPr>
            <w:tcW w:w="10768" w:type="dxa"/>
            <w:gridSpan w:val="5"/>
          </w:tcPr>
          <w:p w:rsidR="00A73167" w:rsidRDefault="00F524E7">
            <w:pPr>
              <w:jc w:val="center"/>
              <w:rPr>
                <w:rFonts w:ascii="Times New Roman" w:hAnsi="Times New Roman" w:cs="Times New Roman"/>
                <w:sz w:val="24"/>
                <w:szCs w:val="24"/>
              </w:rPr>
            </w:pPr>
            <w:r>
              <w:rPr>
                <w:rFonts w:ascii="Times New Roman" w:hAnsi="Times New Roman" w:cs="Times New Roman"/>
                <w:sz w:val="24"/>
                <w:szCs w:val="24"/>
              </w:rPr>
              <w:t>Анализ экономической отрасли инвестиционного проекта и маркетинг</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Краткое описание рынка сбыта планируемой к выпуску</w:t>
            </w:r>
          </w:p>
          <w:p w:rsidR="00A73167" w:rsidRDefault="00F524E7">
            <w:pPr>
              <w:rPr>
                <w:rFonts w:ascii="Times New Roman" w:hAnsi="Times New Roman" w:cs="Times New Roman"/>
                <w:sz w:val="24"/>
                <w:szCs w:val="24"/>
              </w:rPr>
            </w:pPr>
            <w:r>
              <w:rPr>
                <w:rFonts w:ascii="Times New Roman" w:hAnsi="Times New Roman" w:cs="Times New Roman"/>
                <w:sz w:val="24"/>
                <w:szCs w:val="24"/>
              </w:rPr>
              <w:t>продукции/оказанию услуги</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Медицинский центр будет создан на территории инновационного научно-технологического центра федерального масштаба, не имеющего аналогов в Уральском федеральном округе.</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Площадь границ проектирования территории ИНТЦ и объектов деловой и социально-культурной инфраструктуры составляет 67,3 Га.</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Ключевыми объектами территории являются:</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 xml:space="preserve">университетский кампус: университет на 2 000 студентов и до 500 преподавателей, общежития для размещения не менее 1 000 человек; </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технопарк на 1 600 рабочих мест для компаний;</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lastRenderedPageBreak/>
              <w:t>центр высоких биомедицинских технологий, рассчитанный на 6 лабораторий и 200 оборудованных рабочих мест;</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арендное жилье в виде многоквартирных жилых домов на 1 192 квартиры;</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кварталы многоквартирных жилых домов на 716 квартир;</w:t>
            </w:r>
          </w:p>
          <w:p w:rsidR="00A73167" w:rsidRDefault="00F524E7">
            <w:pPr>
              <w:jc w:val="both"/>
              <w:rPr>
                <w:rFonts w:ascii="Times New Roman" w:hAnsi="Times New Roman" w:cs="Times New Roman"/>
                <w:sz w:val="24"/>
                <w:szCs w:val="24"/>
              </w:rPr>
            </w:pPr>
            <w:proofErr w:type="spellStart"/>
            <w:r>
              <w:rPr>
                <w:rFonts w:ascii="Times New Roman" w:hAnsi="Times New Roman" w:cs="Times New Roman"/>
                <w:bCs/>
                <w:sz w:val="24"/>
                <w:szCs w:val="24"/>
              </w:rPr>
              <w:t>конгрессно</w:t>
            </w:r>
            <w:proofErr w:type="spellEnd"/>
            <w:r>
              <w:rPr>
                <w:rFonts w:ascii="Times New Roman" w:hAnsi="Times New Roman" w:cs="Times New Roman"/>
                <w:bCs/>
                <w:sz w:val="24"/>
                <w:szCs w:val="24"/>
              </w:rPr>
              <w:t>-выставочный центр;</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офисы компаний и многофункциональные центры.</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Отличительной чертой территории является ее расположение вдоль реки Обь, в связи с чем планируется организация набережной по принципу променада для круглогодичного отдыха.</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 xml:space="preserve">Автономный округ отличает высокий уровень деловой и общественной жизни, размещение на территории региона офисов таких крупных компаний, как подразделения ГК Лукойл, Роснефть, </w:t>
            </w:r>
            <w:proofErr w:type="spellStart"/>
            <w:r>
              <w:rPr>
                <w:rFonts w:ascii="Times New Roman" w:hAnsi="Times New Roman" w:cs="Times New Roman"/>
                <w:bCs/>
                <w:sz w:val="24"/>
                <w:szCs w:val="24"/>
              </w:rPr>
              <w:t>Газпромнефть</w:t>
            </w:r>
            <w:proofErr w:type="spellEnd"/>
            <w:r>
              <w:rPr>
                <w:rFonts w:ascii="Times New Roman" w:hAnsi="Times New Roman" w:cs="Times New Roman"/>
                <w:bCs/>
                <w:sz w:val="24"/>
                <w:szCs w:val="24"/>
              </w:rPr>
              <w:t>.</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Сургут, как и любой другой город, имеет свой рынок медицинских услуг. Он включает в себя государственные и частные медицинские учреждения, оказывающие широкий спектр услуг. Развитие рынка медицинских услуг в г. Сургуте определяется общими тенденциями, характерными для всего российского рынка, а также местными особенностями, такими как численность населения, уровень доходов и заболеваемость.</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Учитывая стабильный рост населения г. Сургута, деловую активность автономного округа, планы по развитию территории, рынок медицинских услуг остается емким.</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Объемы потребления аналогичной продукции/услуг (внутри субъекта Российской Федерации и за его пределами)</w:t>
            </w:r>
          </w:p>
        </w:tc>
        <w:tc>
          <w:tcPr>
            <w:tcW w:w="7371" w:type="dxa"/>
            <w:gridSpan w:val="3"/>
          </w:tcPr>
          <w:p w:rsidR="00A73167" w:rsidRDefault="00F524E7">
            <w:pPr>
              <w:rPr>
                <w:rFonts w:ascii="Times New Roman" w:hAnsi="Times New Roman" w:cs="Times New Roman"/>
                <w:bCs/>
                <w:sz w:val="24"/>
                <w:szCs w:val="24"/>
              </w:rPr>
            </w:pPr>
            <w:r>
              <w:rPr>
                <w:rFonts w:ascii="Times New Roman" w:hAnsi="Times New Roman" w:cs="Times New Roman"/>
                <w:sz w:val="24"/>
                <w:szCs w:val="24"/>
              </w:rPr>
              <w:t xml:space="preserve">В Югре – 1 759 386 человек, в РФ – </w:t>
            </w:r>
            <w:r>
              <w:rPr>
                <w:rFonts w:ascii="Times New Roman" w:eastAsia="Times New Roman" w:hAnsi="Times New Roman" w:cs="Times New Roman"/>
                <w:color w:val="000000"/>
                <w:sz w:val="24"/>
              </w:rPr>
              <w:t xml:space="preserve">1 281 400 человек </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Потенциальные потребители</w:t>
            </w:r>
          </w:p>
          <w:p w:rsidR="00A73167" w:rsidRDefault="00F524E7">
            <w:pPr>
              <w:rPr>
                <w:rFonts w:ascii="Times New Roman" w:hAnsi="Times New Roman" w:cs="Times New Roman"/>
                <w:sz w:val="24"/>
                <w:szCs w:val="24"/>
              </w:rPr>
            </w:pPr>
            <w:r>
              <w:rPr>
                <w:rFonts w:ascii="Times New Roman" w:hAnsi="Times New Roman" w:cs="Times New Roman"/>
                <w:sz w:val="24"/>
                <w:szCs w:val="24"/>
              </w:rPr>
              <w:t>планируемой к выпуску</w:t>
            </w:r>
          </w:p>
          <w:p w:rsidR="00A73167" w:rsidRDefault="00F524E7">
            <w:pPr>
              <w:rPr>
                <w:rFonts w:ascii="Times New Roman" w:hAnsi="Times New Roman" w:cs="Times New Roman"/>
                <w:sz w:val="24"/>
                <w:szCs w:val="24"/>
              </w:rPr>
            </w:pPr>
            <w:r>
              <w:rPr>
                <w:rFonts w:ascii="Times New Roman" w:hAnsi="Times New Roman" w:cs="Times New Roman"/>
                <w:sz w:val="24"/>
                <w:szCs w:val="24"/>
              </w:rPr>
              <w:t>продукции/оказываемых услуг</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Студенты, научно-педагогические работники, сотрудники ИНТЦ, жители Ханты-Мансийского автономного округа – Югры</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Объемы производства аналогичной</w:t>
            </w:r>
          </w:p>
          <w:p w:rsidR="00A73167" w:rsidRDefault="00F524E7">
            <w:pPr>
              <w:rPr>
                <w:rFonts w:ascii="Times New Roman" w:hAnsi="Times New Roman" w:cs="Times New Roman"/>
                <w:sz w:val="24"/>
                <w:szCs w:val="24"/>
              </w:rPr>
            </w:pPr>
            <w:r>
              <w:rPr>
                <w:rFonts w:ascii="Times New Roman" w:hAnsi="Times New Roman" w:cs="Times New Roman"/>
                <w:sz w:val="24"/>
                <w:szCs w:val="24"/>
              </w:rPr>
              <w:t>продукции/оказания услуг внутри субъекта Российской Федерации и на</w:t>
            </w:r>
          </w:p>
          <w:p w:rsidR="00A73167" w:rsidRDefault="00F524E7">
            <w:pPr>
              <w:rPr>
                <w:rFonts w:ascii="Times New Roman" w:hAnsi="Times New Roman" w:cs="Times New Roman"/>
                <w:sz w:val="24"/>
                <w:szCs w:val="24"/>
              </w:rPr>
            </w:pPr>
            <w:r>
              <w:rPr>
                <w:rFonts w:ascii="Times New Roman" w:hAnsi="Times New Roman" w:cs="Times New Roman"/>
                <w:sz w:val="24"/>
                <w:szCs w:val="24"/>
              </w:rPr>
              <w:t>всей территории Российской Федерации</w:t>
            </w:r>
          </w:p>
        </w:tc>
        <w:tc>
          <w:tcPr>
            <w:tcW w:w="7371" w:type="dxa"/>
            <w:gridSpan w:val="3"/>
          </w:tcPr>
          <w:p w:rsidR="00A73167" w:rsidRDefault="00F524E7">
            <w:pPr>
              <w:jc w:val="both"/>
              <w:rPr>
                <w:rFonts w:ascii="Times New Roman" w:hAnsi="Times New Roman" w:cs="Times New Roman"/>
                <w:b/>
                <w:bCs/>
                <w:sz w:val="24"/>
                <w:szCs w:val="24"/>
              </w:rPr>
            </w:pPr>
            <w:r>
              <w:rPr>
                <w:rFonts w:ascii="Times New Roman" w:hAnsi="Times New Roman" w:cs="Times New Roman"/>
                <w:bCs/>
                <w:color w:val="000000" w:themeColor="text1"/>
                <w:sz w:val="24"/>
                <w:szCs w:val="24"/>
              </w:rPr>
              <w:t xml:space="preserve">В автономном округе 290 </w:t>
            </w:r>
            <w:r>
              <w:rPr>
                <w:rFonts w:ascii="Times New Roman" w:eastAsia="Arial" w:hAnsi="Times New Roman" w:cs="Times New Roman"/>
                <w:color w:val="000000" w:themeColor="text1"/>
                <w:sz w:val="24"/>
                <w:szCs w:val="24"/>
                <w:highlight w:val="white"/>
              </w:rPr>
              <w:t>амбулаторно-поликлинических организаций</w:t>
            </w:r>
            <w:r>
              <w:rPr>
                <w:rFonts w:ascii="Times New Roman" w:eastAsia="Arial" w:hAnsi="Times New Roman" w:cs="Times New Roman"/>
                <w:color w:val="000000" w:themeColor="text1"/>
                <w:sz w:val="24"/>
                <w:szCs w:val="24"/>
              </w:rPr>
              <w:t xml:space="preserve"> с посещаемостью в смену – </w:t>
            </w:r>
            <w:r>
              <w:rPr>
                <w:rFonts w:ascii="Times New Roman" w:eastAsia="Arial" w:hAnsi="Times New Roman" w:cs="Times New Roman"/>
                <w:color w:val="000000" w:themeColor="text1"/>
                <w:sz w:val="24"/>
                <w:szCs w:val="24"/>
                <w:highlight w:val="white"/>
              </w:rPr>
              <w:t>47 091</w:t>
            </w:r>
            <w:r>
              <w:rPr>
                <w:rFonts w:ascii="Times New Roman" w:eastAsia="Arial" w:hAnsi="Times New Roman" w:cs="Times New Roman"/>
                <w:color w:val="000000" w:themeColor="text1"/>
                <w:sz w:val="24"/>
                <w:szCs w:val="24"/>
              </w:rPr>
              <w:t xml:space="preserve"> человек</w:t>
            </w:r>
          </w:p>
        </w:tc>
      </w:tr>
      <w:tr w:rsidR="00A73167" w:rsidTr="00416A3D">
        <w:tc>
          <w:tcPr>
            <w:tcW w:w="3397" w:type="dxa"/>
            <w:gridSpan w:val="2"/>
          </w:tcPr>
          <w:p w:rsidR="00A73167" w:rsidRDefault="00F524E7">
            <w:pPr>
              <w:jc w:val="both"/>
              <w:rPr>
                <w:rFonts w:ascii="Times New Roman" w:hAnsi="Times New Roman" w:cs="Times New Roman"/>
                <w:sz w:val="24"/>
                <w:szCs w:val="24"/>
              </w:rPr>
            </w:pPr>
            <w:r>
              <w:rPr>
                <w:rFonts w:ascii="Times New Roman" w:hAnsi="Times New Roman" w:cs="Times New Roman"/>
                <w:sz w:val="24"/>
                <w:szCs w:val="24"/>
              </w:rPr>
              <w:t>Возможность выстраивания цепочек кооперации с действующими и создаваемыми производствами внутри субъекта Российской Федерации и за его</w:t>
            </w:r>
          </w:p>
          <w:p w:rsidR="00A73167" w:rsidRDefault="00F524E7">
            <w:pPr>
              <w:jc w:val="both"/>
              <w:rPr>
                <w:rFonts w:ascii="Times New Roman" w:hAnsi="Times New Roman" w:cs="Times New Roman"/>
                <w:sz w:val="24"/>
                <w:szCs w:val="24"/>
              </w:rPr>
            </w:pPr>
            <w:r>
              <w:rPr>
                <w:rFonts w:ascii="Times New Roman" w:hAnsi="Times New Roman" w:cs="Times New Roman"/>
                <w:sz w:val="24"/>
                <w:szCs w:val="24"/>
              </w:rPr>
              <w:t>пределами</w:t>
            </w:r>
          </w:p>
        </w:tc>
        <w:tc>
          <w:tcPr>
            <w:tcW w:w="7371" w:type="dxa"/>
            <w:gridSpan w:val="3"/>
          </w:tcPr>
          <w:p w:rsidR="00A73167" w:rsidRDefault="00F524E7">
            <w:pPr>
              <w:rPr>
                <w:rFonts w:ascii="Times New Roman" w:hAnsi="Times New Roman" w:cs="Times New Roman"/>
                <w:bCs/>
                <w:sz w:val="24"/>
                <w:szCs w:val="24"/>
              </w:rPr>
            </w:pPr>
            <w:r>
              <w:rPr>
                <w:rFonts w:ascii="Times New Roman" w:hAnsi="Times New Roman" w:cs="Times New Roman"/>
                <w:bCs/>
                <w:sz w:val="24"/>
                <w:szCs w:val="24"/>
              </w:rPr>
              <w:t>Потенциальная кооперация с партнерами:</w:t>
            </w:r>
          </w:p>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участники проекта ИНТЦ «ЮНИТИ ПАРК»;</w:t>
            </w:r>
          </w:p>
          <w:p w:rsidR="00A73167" w:rsidRDefault="00F524E7">
            <w:pPr>
              <w:rPr>
                <w:rFonts w:ascii="Times New Roman" w:hAnsi="Times New Roman" w:cs="Times New Roman"/>
                <w:sz w:val="24"/>
                <w:szCs w:val="24"/>
                <w:highlight w:val="yellow"/>
              </w:rPr>
            </w:pPr>
            <w:r>
              <w:rPr>
                <w:rFonts w:ascii="Times New Roman" w:hAnsi="Times New Roman" w:cs="Times New Roman"/>
                <w:bCs/>
                <w:sz w:val="24"/>
                <w:szCs w:val="24"/>
              </w:rPr>
              <w:t xml:space="preserve">крупные предприятия нефтегазовой отрасли </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Оценка экспортного потенциала планируемой к выпуску продукции/услуги</w:t>
            </w:r>
          </w:p>
        </w:tc>
        <w:tc>
          <w:tcPr>
            <w:tcW w:w="7371" w:type="dxa"/>
            <w:gridSpan w:val="3"/>
          </w:tcPr>
          <w:p w:rsidR="00A73167" w:rsidRDefault="00F524E7">
            <w:pPr>
              <w:rPr>
                <w:rFonts w:ascii="Times New Roman" w:hAnsi="Times New Roman" w:cs="Times New Roman"/>
                <w:bCs/>
                <w:sz w:val="24"/>
                <w:szCs w:val="24"/>
              </w:rPr>
            </w:pPr>
            <w:r>
              <w:rPr>
                <w:rFonts w:ascii="Times New Roman" w:hAnsi="Times New Roman" w:cs="Times New Roman"/>
                <w:bCs/>
                <w:sz w:val="24"/>
                <w:szCs w:val="24"/>
              </w:rPr>
              <w:t>Экспорт не предполагается</w:t>
            </w:r>
          </w:p>
        </w:tc>
      </w:tr>
      <w:tr w:rsidR="00A73167" w:rsidTr="00416A3D">
        <w:tc>
          <w:tcPr>
            <w:tcW w:w="3397"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Конкурентные преимущества субъекта Российской Федерации и территории</w:t>
            </w:r>
          </w:p>
          <w:p w:rsidR="00A73167" w:rsidRDefault="00F524E7">
            <w:pPr>
              <w:rPr>
                <w:rFonts w:ascii="Times New Roman" w:hAnsi="Times New Roman" w:cs="Times New Roman"/>
                <w:sz w:val="24"/>
                <w:szCs w:val="24"/>
              </w:rPr>
            </w:pPr>
            <w:r>
              <w:rPr>
                <w:rFonts w:ascii="Times New Roman" w:hAnsi="Times New Roman" w:cs="Times New Roman"/>
                <w:sz w:val="24"/>
                <w:szCs w:val="24"/>
              </w:rPr>
              <w:t>локализации инвестиционного проекта</w:t>
            </w:r>
          </w:p>
        </w:tc>
        <w:tc>
          <w:tcPr>
            <w:tcW w:w="7371" w:type="dxa"/>
            <w:gridSpan w:val="3"/>
          </w:tcPr>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Регион и район с высокой деловой активностью, высокими показателями экономики;</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г. Сургут является первым по размерам и экономической и деловой активности городом региона;</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Наличие спроса в районе реализации проекта;</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Стабильность инвестиционного законодательства;</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Эффективные меры поддержки инвестиционной и предпринимательской деятельности;</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Высокоразвитая инвестиционная инфраструктура;</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Высокий промышленный потенциал;</w:t>
            </w:r>
          </w:p>
          <w:p w:rsidR="00A73167" w:rsidRDefault="00F524E7">
            <w:pPr>
              <w:jc w:val="both"/>
              <w:rPr>
                <w:rFonts w:ascii="Times New Roman" w:hAnsi="Times New Roman" w:cs="Times New Roman"/>
                <w:bCs/>
                <w:sz w:val="24"/>
                <w:szCs w:val="24"/>
              </w:rPr>
            </w:pPr>
            <w:r>
              <w:rPr>
                <w:rFonts w:ascii="Times New Roman" w:hAnsi="Times New Roman" w:cs="Times New Roman"/>
                <w:bCs/>
                <w:sz w:val="24"/>
                <w:szCs w:val="24"/>
              </w:rPr>
              <w:t>Высокий спрос населения на качественные и высокотехнологичные услуги.</w:t>
            </w:r>
          </w:p>
        </w:tc>
      </w:tr>
      <w:tr w:rsidR="00A73167" w:rsidTr="00416A3D">
        <w:tc>
          <w:tcPr>
            <w:tcW w:w="10768" w:type="dxa"/>
            <w:gridSpan w:val="5"/>
          </w:tcPr>
          <w:p w:rsidR="00A73167" w:rsidRDefault="00F524E7">
            <w:pPr>
              <w:jc w:val="center"/>
              <w:rPr>
                <w:rFonts w:ascii="Times New Roman" w:hAnsi="Times New Roman" w:cs="Times New Roman"/>
                <w:sz w:val="24"/>
                <w:szCs w:val="24"/>
              </w:rPr>
            </w:pPr>
            <w:r>
              <w:rPr>
                <w:rFonts w:ascii="Times New Roman" w:hAnsi="Times New Roman" w:cs="Times New Roman"/>
                <w:sz w:val="24"/>
                <w:szCs w:val="24"/>
              </w:rPr>
              <w:t>Анализ сырьевого обеспечения инвестиционного проекта</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Уровень и качество сырьевого</w:t>
            </w:r>
          </w:p>
          <w:p w:rsidR="00A73167" w:rsidRDefault="00F524E7">
            <w:pPr>
              <w:rPr>
                <w:rFonts w:ascii="Times New Roman" w:hAnsi="Times New Roman" w:cs="Times New Roman"/>
                <w:sz w:val="24"/>
                <w:szCs w:val="24"/>
              </w:rPr>
            </w:pPr>
            <w:r>
              <w:rPr>
                <w:rFonts w:ascii="Times New Roman" w:hAnsi="Times New Roman" w:cs="Times New Roman"/>
                <w:sz w:val="24"/>
                <w:szCs w:val="24"/>
              </w:rPr>
              <w:t>обеспечения инвестиционного проекта, в</w:t>
            </w:r>
          </w:p>
          <w:p w:rsidR="00A73167" w:rsidRDefault="00F524E7">
            <w:pPr>
              <w:rPr>
                <w:rFonts w:ascii="Times New Roman" w:hAnsi="Times New Roman" w:cs="Times New Roman"/>
                <w:sz w:val="24"/>
                <w:szCs w:val="24"/>
              </w:rPr>
            </w:pPr>
            <w:r>
              <w:rPr>
                <w:rFonts w:ascii="Times New Roman" w:hAnsi="Times New Roman" w:cs="Times New Roman"/>
                <w:sz w:val="24"/>
                <w:szCs w:val="24"/>
              </w:rPr>
              <w:t>том числе за счет:</w:t>
            </w:r>
          </w:p>
          <w:p w:rsidR="00A73167" w:rsidRDefault="00F524E7">
            <w:pPr>
              <w:rPr>
                <w:rFonts w:ascii="Times New Roman" w:hAnsi="Times New Roman" w:cs="Times New Roman"/>
                <w:sz w:val="24"/>
                <w:szCs w:val="24"/>
              </w:rPr>
            </w:pPr>
            <w:r>
              <w:rPr>
                <w:rFonts w:ascii="Times New Roman" w:hAnsi="Times New Roman" w:cs="Times New Roman"/>
                <w:sz w:val="24"/>
                <w:szCs w:val="24"/>
              </w:rPr>
              <w:t>- существующих мощностей в субъекте</w:t>
            </w:r>
          </w:p>
          <w:p w:rsidR="00A73167" w:rsidRDefault="00F524E7">
            <w:pPr>
              <w:rPr>
                <w:rFonts w:ascii="Times New Roman" w:hAnsi="Times New Roman" w:cs="Times New Roman"/>
                <w:sz w:val="24"/>
                <w:szCs w:val="24"/>
              </w:rPr>
            </w:pPr>
            <w:r>
              <w:rPr>
                <w:rFonts w:ascii="Times New Roman" w:hAnsi="Times New Roman" w:cs="Times New Roman"/>
                <w:sz w:val="24"/>
                <w:szCs w:val="24"/>
              </w:rPr>
              <w:t>Российской Федерации;</w:t>
            </w:r>
          </w:p>
          <w:p w:rsidR="00A73167" w:rsidRDefault="00F524E7">
            <w:pPr>
              <w:rPr>
                <w:rFonts w:ascii="Times New Roman" w:hAnsi="Times New Roman" w:cs="Times New Roman"/>
                <w:sz w:val="24"/>
                <w:szCs w:val="24"/>
              </w:rPr>
            </w:pPr>
            <w:r>
              <w:rPr>
                <w:rFonts w:ascii="Times New Roman" w:hAnsi="Times New Roman" w:cs="Times New Roman"/>
                <w:sz w:val="24"/>
                <w:szCs w:val="24"/>
              </w:rPr>
              <w:t>- внутреннего рынка Российской</w:t>
            </w:r>
          </w:p>
          <w:p w:rsidR="00A73167" w:rsidRDefault="00F524E7">
            <w:pPr>
              <w:rPr>
                <w:rFonts w:ascii="Times New Roman" w:hAnsi="Times New Roman" w:cs="Times New Roman"/>
                <w:sz w:val="24"/>
                <w:szCs w:val="24"/>
              </w:rPr>
            </w:pPr>
            <w:r>
              <w:rPr>
                <w:rFonts w:ascii="Times New Roman" w:hAnsi="Times New Roman" w:cs="Times New Roman"/>
                <w:sz w:val="24"/>
                <w:szCs w:val="24"/>
              </w:rPr>
              <w:t>Федерации (с учетом логистических</w:t>
            </w:r>
          </w:p>
          <w:p w:rsidR="00A73167" w:rsidRDefault="00F524E7">
            <w:pPr>
              <w:rPr>
                <w:rFonts w:ascii="Times New Roman" w:hAnsi="Times New Roman" w:cs="Times New Roman"/>
                <w:sz w:val="24"/>
                <w:szCs w:val="24"/>
              </w:rPr>
            </w:pPr>
            <w:r>
              <w:rPr>
                <w:rFonts w:ascii="Times New Roman" w:hAnsi="Times New Roman" w:cs="Times New Roman"/>
                <w:sz w:val="24"/>
                <w:szCs w:val="24"/>
              </w:rPr>
              <w:t>возможностей субъекта Российской</w:t>
            </w:r>
          </w:p>
          <w:p w:rsidR="00A73167" w:rsidRDefault="00F524E7">
            <w:pPr>
              <w:rPr>
                <w:rFonts w:ascii="Times New Roman" w:hAnsi="Times New Roman" w:cs="Times New Roman"/>
                <w:sz w:val="24"/>
                <w:szCs w:val="24"/>
              </w:rPr>
            </w:pPr>
            <w:r>
              <w:rPr>
                <w:rFonts w:ascii="Times New Roman" w:hAnsi="Times New Roman" w:cs="Times New Roman"/>
                <w:sz w:val="24"/>
                <w:szCs w:val="24"/>
              </w:rPr>
              <w:t>Федерации);</w:t>
            </w:r>
          </w:p>
          <w:p w:rsidR="00A73167" w:rsidRDefault="00F524E7">
            <w:pPr>
              <w:rPr>
                <w:rFonts w:ascii="Times New Roman" w:hAnsi="Times New Roman" w:cs="Times New Roman"/>
                <w:sz w:val="24"/>
                <w:szCs w:val="24"/>
              </w:rPr>
            </w:pPr>
            <w:r>
              <w:rPr>
                <w:rFonts w:ascii="Times New Roman" w:hAnsi="Times New Roman" w:cs="Times New Roman"/>
                <w:sz w:val="24"/>
                <w:szCs w:val="24"/>
              </w:rPr>
              <w:t>- импорта из других государств</w:t>
            </w:r>
          </w:p>
        </w:tc>
        <w:tc>
          <w:tcPr>
            <w:tcW w:w="6025" w:type="dxa"/>
            <w:gridSpan w:val="2"/>
          </w:tcPr>
          <w:p w:rsidR="00A73167" w:rsidRDefault="00F524E7">
            <w:pPr>
              <w:rPr>
                <w:rFonts w:ascii="Times New Roman" w:hAnsi="Times New Roman" w:cs="Times New Roman"/>
                <w:b/>
                <w:bCs/>
                <w:sz w:val="24"/>
                <w:szCs w:val="24"/>
              </w:rPr>
            </w:pPr>
            <w:r>
              <w:rPr>
                <w:rFonts w:ascii="Times New Roman" w:hAnsi="Times New Roman" w:cs="Times New Roman"/>
                <w:bCs/>
                <w:sz w:val="24"/>
                <w:szCs w:val="24"/>
              </w:rPr>
              <w:t>-</w:t>
            </w:r>
          </w:p>
        </w:tc>
      </w:tr>
      <w:tr w:rsidR="00A73167" w:rsidTr="00416A3D">
        <w:tc>
          <w:tcPr>
            <w:tcW w:w="10768" w:type="dxa"/>
            <w:gridSpan w:val="5"/>
          </w:tcPr>
          <w:p w:rsidR="00A73167" w:rsidRDefault="00F524E7">
            <w:pPr>
              <w:jc w:val="center"/>
              <w:rPr>
                <w:rFonts w:ascii="Times New Roman" w:hAnsi="Times New Roman" w:cs="Times New Roman"/>
                <w:sz w:val="24"/>
                <w:szCs w:val="24"/>
              </w:rPr>
            </w:pPr>
            <w:r>
              <w:rPr>
                <w:rFonts w:ascii="Times New Roman" w:hAnsi="Times New Roman" w:cs="Times New Roman"/>
                <w:sz w:val="24"/>
                <w:szCs w:val="24"/>
              </w:rPr>
              <w:t>Локализация инвестиционного проекта</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Кадастровый номер и (или) координаты</w:t>
            </w:r>
          </w:p>
          <w:p w:rsidR="00A73167" w:rsidRDefault="00F524E7">
            <w:pPr>
              <w:rPr>
                <w:rFonts w:ascii="Times New Roman" w:hAnsi="Times New Roman" w:cs="Times New Roman"/>
                <w:sz w:val="24"/>
                <w:szCs w:val="24"/>
              </w:rPr>
            </w:pPr>
            <w:r>
              <w:rPr>
                <w:rFonts w:ascii="Times New Roman" w:hAnsi="Times New Roman" w:cs="Times New Roman"/>
                <w:sz w:val="24"/>
                <w:szCs w:val="24"/>
              </w:rPr>
              <w:t>земельного участка</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86:10:0101176:2508</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Форма собственности на земельный</w:t>
            </w:r>
          </w:p>
          <w:p w:rsidR="00A73167" w:rsidRDefault="00F524E7">
            <w:pPr>
              <w:rPr>
                <w:rFonts w:ascii="Times New Roman" w:hAnsi="Times New Roman" w:cs="Times New Roman"/>
                <w:sz w:val="24"/>
                <w:szCs w:val="24"/>
              </w:rPr>
            </w:pPr>
            <w:r>
              <w:rPr>
                <w:rFonts w:ascii="Times New Roman" w:hAnsi="Times New Roman" w:cs="Times New Roman"/>
                <w:sz w:val="24"/>
                <w:szCs w:val="24"/>
              </w:rPr>
              <w:t>участок</w:t>
            </w:r>
          </w:p>
        </w:tc>
        <w:tc>
          <w:tcPr>
            <w:tcW w:w="6025" w:type="dxa"/>
            <w:gridSpan w:val="2"/>
          </w:tcPr>
          <w:p w:rsidR="00A73167" w:rsidRDefault="00F524E7">
            <w:pPr>
              <w:rPr>
                <w:rFonts w:ascii="Times New Roman" w:hAnsi="Times New Roman" w:cs="Times New Roman"/>
                <w:b/>
                <w:bCs/>
                <w:sz w:val="24"/>
                <w:szCs w:val="24"/>
              </w:rPr>
            </w:pPr>
            <w:r>
              <w:rPr>
                <w:rFonts w:ascii="Times New Roman" w:hAnsi="Times New Roman" w:cs="Times New Roman"/>
                <w:color w:val="000000"/>
                <w:sz w:val="24"/>
                <w:szCs w:val="24"/>
                <w:shd w:val="clear" w:color="auto" w:fill="FFFFFF"/>
              </w:rPr>
              <w:t>Собственность публично-правовых образований</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Предполагаемый тип сделки</w:t>
            </w:r>
          </w:p>
          <w:p w:rsidR="00A73167" w:rsidRDefault="00F524E7">
            <w:pPr>
              <w:rPr>
                <w:rFonts w:ascii="Times New Roman" w:hAnsi="Times New Roman" w:cs="Times New Roman"/>
                <w:sz w:val="24"/>
                <w:szCs w:val="24"/>
              </w:rPr>
            </w:pPr>
            <w:r>
              <w:rPr>
                <w:rFonts w:ascii="Times New Roman" w:hAnsi="Times New Roman" w:cs="Times New Roman"/>
                <w:sz w:val="24"/>
                <w:szCs w:val="24"/>
              </w:rPr>
              <w:t>с земельным участком</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Аренда через аукцион.</w:t>
            </w:r>
          </w:p>
          <w:p w:rsidR="00A73167" w:rsidRDefault="00F524E7">
            <w:pPr>
              <w:rPr>
                <w:rFonts w:ascii="Times New Roman" w:hAnsi="Times New Roman" w:cs="Times New Roman"/>
                <w:b/>
                <w:bCs/>
                <w:sz w:val="24"/>
                <w:szCs w:val="24"/>
              </w:rPr>
            </w:pPr>
            <w:r>
              <w:rPr>
                <w:rFonts w:ascii="Times New Roman" w:hAnsi="Times New Roman" w:cs="Times New Roman"/>
                <w:sz w:val="24"/>
                <w:szCs w:val="24"/>
              </w:rPr>
              <w:t>Аренда без проведения торгов (аукциона) путем заключения Соглашения о реализации масштабного инвестиционного проекта</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Площадь земельного участка (в кв. м.)</w:t>
            </w:r>
          </w:p>
        </w:tc>
        <w:tc>
          <w:tcPr>
            <w:tcW w:w="6025" w:type="dxa"/>
            <w:gridSpan w:val="2"/>
          </w:tcPr>
          <w:p w:rsidR="00A73167" w:rsidRDefault="00F524E7">
            <w:pPr>
              <w:rPr>
                <w:rFonts w:ascii="Times New Roman" w:hAnsi="Times New Roman" w:cs="Times New Roman"/>
                <w:b/>
                <w:bCs/>
                <w:sz w:val="24"/>
                <w:szCs w:val="24"/>
              </w:rPr>
            </w:pPr>
            <w:r>
              <w:rPr>
                <w:rFonts w:ascii="Times New Roman" w:hAnsi="Times New Roman" w:cs="Times New Roman"/>
                <w:sz w:val="24"/>
                <w:szCs w:val="24"/>
              </w:rPr>
              <w:t xml:space="preserve">17 619 </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Категория земельного участка</w:t>
            </w:r>
          </w:p>
        </w:tc>
        <w:tc>
          <w:tcPr>
            <w:tcW w:w="6025" w:type="dxa"/>
            <w:gridSpan w:val="2"/>
          </w:tcPr>
          <w:p w:rsidR="00A73167" w:rsidRDefault="00F524E7">
            <w:pPr>
              <w:rPr>
                <w:rFonts w:ascii="Times New Roman" w:hAnsi="Times New Roman" w:cs="Times New Roman"/>
                <w:b/>
                <w:bCs/>
                <w:sz w:val="24"/>
                <w:szCs w:val="24"/>
              </w:rPr>
            </w:pPr>
            <w:r>
              <w:rPr>
                <w:rFonts w:ascii="Times New Roman" w:hAnsi="Times New Roman" w:cs="Times New Roman"/>
                <w:sz w:val="24"/>
                <w:szCs w:val="24"/>
              </w:rPr>
              <w:t>Земли населенных пунктов</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Вид разрешенного использования</w:t>
            </w:r>
          </w:p>
          <w:p w:rsidR="00A73167" w:rsidRDefault="00F524E7">
            <w:pPr>
              <w:rPr>
                <w:rFonts w:ascii="Times New Roman" w:hAnsi="Times New Roman" w:cs="Times New Roman"/>
                <w:sz w:val="24"/>
                <w:szCs w:val="24"/>
              </w:rPr>
            </w:pPr>
            <w:r>
              <w:rPr>
                <w:rFonts w:ascii="Times New Roman" w:hAnsi="Times New Roman" w:cs="Times New Roman"/>
                <w:sz w:val="24"/>
                <w:szCs w:val="24"/>
              </w:rPr>
              <w:t>земельного участка</w:t>
            </w:r>
          </w:p>
        </w:tc>
        <w:tc>
          <w:tcPr>
            <w:tcW w:w="6025" w:type="dxa"/>
            <w:gridSpan w:val="2"/>
          </w:tcPr>
          <w:p w:rsidR="00A73167" w:rsidRDefault="00F524E7">
            <w:pPr>
              <w:rPr>
                <w:rFonts w:ascii="Times New Roman" w:hAnsi="Times New Roman" w:cs="Times New Roman"/>
                <w:b/>
                <w:bCs/>
                <w:sz w:val="24"/>
                <w:szCs w:val="24"/>
                <w:highlight w:val="white"/>
              </w:rPr>
            </w:pPr>
            <w:r>
              <w:rPr>
                <w:rFonts w:ascii="Times New Roman" w:hAnsi="Times New Roman" w:cs="Times New Roman"/>
                <w:sz w:val="24"/>
                <w:szCs w:val="24"/>
                <w:highlight w:val="white"/>
                <w:shd w:val="clear" w:color="auto" w:fill="F8F9FA"/>
              </w:rPr>
              <w:t>Здравоохранение</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Наличие преференциального режима</w:t>
            </w:r>
          </w:p>
        </w:tc>
        <w:tc>
          <w:tcPr>
            <w:tcW w:w="6025" w:type="dxa"/>
            <w:gridSpan w:val="2"/>
          </w:tcPr>
          <w:p w:rsidR="00A73167" w:rsidRDefault="00F524E7">
            <w:pPr>
              <w:rPr>
                <w:rFonts w:ascii="Times New Roman" w:hAnsi="Times New Roman" w:cs="Times New Roman"/>
                <w:bCs/>
                <w:sz w:val="24"/>
                <w:szCs w:val="24"/>
              </w:rPr>
            </w:pPr>
            <w:r>
              <w:rPr>
                <w:rFonts w:ascii="Times New Roman" w:hAnsi="Times New Roman" w:cs="Times New Roman"/>
                <w:sz w:val="24"/>
                <w:szCs w:val="24"/>
              </w:rPr>
              <w:t>Отсутствует</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Льготы в отношении земельного участка</w:t>
            </w:r>
          </w:p>
        </w:tc>
        <w:tc>
          <w:tcPr>
            <w:tcW w:w="6025" w:type="dxa"/>
            <w:gridSpan w:val="2"/>
          </w:tcPr>
          <w:p w:rsidR="00A73167" w:rsidRDefault="00F524E7">
            <w:pPr>
              <w:rPr>
                <w:rFonts w:ascii="Times New Roman" w:hAnsi="Times New Roman" w:cs="Times New Roman"/>
                <w:b/>
                <w:bCs/>
                <w:sz w:val="24"/>
                <w:szCs w:val="24"/>
              </w:rPr>
            </w:pPr>
            <w:r>
              <w:rPr>
                <w:rFonts w:ascii="Times New Roman" w:hAnsi="Times New Roman" w:cs="Times New Roman"/>
                <w:sz w:val="24"/>
                <w:szCs w:val="24"/>
              </w:rPr>
              <w:t>Аренда без проведения торгов</w:t>
            </w:r>
          </w:p>
        </w:tc>
      </w:tr>
      <w:tr w:rsidR="00A73167" w:rsidTr="00416A3D">
        <w:trPr>
          <w:trHeight w:val="556"/>
        </w:trPr>
        <w:tc>
          <w:tcPr>
            <w:tcW w:w="4743" w:type="dxa"/>
            <w:gridSpan w:val="3"/>
            <w:vMerge w:val="restart"/>
          </w:tcPr>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Дополнительная информация о земельном участке и (или) об объектах недвижимого имущества на земельном участке</w:t>
            </w:r>
          </w:p>
          <w:p w:rsidR="00A73167" w:rsidRDefault="00A73167">
            <w:pPr>
              <w:rPr>
                <w:rFonts w:ascii="Times New Roman" w:hAnsi="Times New Roman" w:cs="Times New Roman"/>
                <w:sz w:val="24"/>
                <w:szCs w:val="24"/>
                <w:highlight w:val="white"/>
              </w:rPr>
            </w:pPr>
          </w:p>
        </w:tc>
        <w:tc>
          <w:tcPr>
            <w:tcW w:w="6025" w:type="dxa"/>
            <w:gridSpan w:val="2"/>
          </w:tcPr>
          <w:p w:rsidR="00A73167" w:rsidRDefault="00F524E7">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Мощность инженерной инфраструктуры,</w:t>
            </w:r>
          </w:p>
          <w:p w:rsidR="00A73167" w:rsidRDefault="00F524E7">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имеющейся на земельном участке</w:t>
            </w:r>
          </w:p>
        </w:tc>
      </w:tr>
      <w:tr w:rsidR="00A73167" w:rsidTr="00416A3D">
        <w:trPr>
          <w:trHeight w:val="597"/>
        </w:trPr>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auto"/>
            </w:tcBorders>
          </w:tcPr>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Электроэнергия,</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МВт</w:t>
            </w:r>
          </w:p>
        </w:tc>
        <w:tc>
          <w:tcPr>
            <w:tcW w:w="3714" w:type="dxa"/>
            <w:tcBorders>
              <w:left w:val="single" w:sz="4" w:space="0" w:color="auto"/>
            </w:tcBorders>
          </w:tcPr>
          <w:p w:rsidR="00A73167" w:rsidRDefault="00F524E7">
            <w:r>
              <w:t>-</w:t>
            </w:r>
          </w:p>
        </w:tc>
      </w:tr>
      <w:tr w:rsidR="00A73167" w:rsidTr="00416A3D">
        <w:trPr>
          <w:trHeight w:val="276"/>
        </w:trPr>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000000"/>
            </w:tcBorders>
          </w:tcPr>
          <w:p w:rsidR="00A73167" w:rsidRDefault="00F524E7">
            <w:r>
              <w:rPr>
                <w:rFonts w:ascii="Times New Roman" w:hAnsi="Times New Roman" w:cs="Times New Roman"/>
                <w:sz w:val="24"/>
                <w:szCs w:val="24"/>
                <w:highlight w:val="white"/>
              </w:rPr>
              <w:t>Водоотведение,</w:t>
            </w:r>
          </w:p>
          <w:p w:rsidR="00A73167" w:rsidRDefault="00F524E7">
            <w:pPr>
              <w:rPr>
                <w:rFonts w:ascii="Times New Roman" w:hAnsi="Times New Roman" w:cs="Times New Roman"/>
                <w:highlight w:val="white"/>
              </w:rPr>
            </w:pPr>
            <w:r>
              <w:rPr>
                <w:rFonts w:ascii="Times New Roman" w:hAnsi="Times New Roman" w:cs="Times New Roman"/>
                <w:sz w:val="24"/>
                <w:szCs w:val="24"/>
                <w:highlight w:val="white"/>
              </w:rPr>
              <w:t>м3/час</w:t>
            </w:r>
          </w:p>
        </w:tc>
        <w:tc>
          <w:tcPr>
            <w:tcW w:w="3714" w:type="dxa"/>
            <w:tcBorders>
              <w:left w:val="single" w:sz="4" w:space="0" w:color="000000"/>
            </w:tcBorders>
          </w:tcPr>
          <w:p w:rsidR="00A73167" w:rsidRDefault="00F524E7">
            <w:pPr>
              <w:rPr>
                <w:rFonts w:ascii="Times New Roman" w:hAnsi="Times New Roman" w:cs="Times New Roman"/>
                <w:highlight w:val="white"/>
              </w:rPr>
            </w:pPr>
            <w:r>
              <w:rPr>
                <w:rFonts w:ascii="Times New Roman" w:hAnsi="Times New Roman" w:cs="Times New Roman"/>
                <w:sz w:val="24"/>
                <w:szCs w:val="24"/>
              </w:rPr>
              <w:t>-</w:t>
            </w:r>
          </w:p>
        </w:tc>
      </w:tr>
      <w:tr w:rsidR="00A73167" w:rsidTr="00416A3D">
        <w:trPr>
          <w:trHeight w:val="276"/>
        </w:trPr>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000000"/>
            </w:tcBorders>
          </w:tcPr>
          <w:p w:rsidR="00A73167" w:rsidRDefault="00F524E7">
            <w:pPr>
              <w:rPr>
                <w:rFonts w:ascii="Times New Roman" w:hAnsi="Times New Roman" w:cs="Times New Roman"/>
                <w:highlight w:val="white"/>
              </w:rPr>
            </w:pPr>
            <w:r>
              <w:rPr>
                <w:rFonts w:ascii="Times New Roman" w:eastAsia="Times New Roman" w:hAnsi="Times New Roman" w:cs="Times New Roman"/>
                <w:color w:val="000000"/>
                <w:sz w:val="24"/>
                <w:szCs w:val="24"/>
              </w:rPr>
              <w:t>Водоснабжение,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/час</w:t>
            </w:r>
          </w:p>
        </w:tc>
        <w:tc>
          <w:tcPr>
            <w:tcW w:w="3714" w:type="dxa"/>
            <w:tcBorders>
              <w:left w:val="single" w:sz="4" w:space="0" w:color="000000"/>
            </w:tcBorders>
          </w:tcPr>
          <w:p w:rsidR="00A73167" w:rsidRDefault="00F524E7">
            <w:pPr>
              <w:rPr>
                <w:rFonts w:ascii="Times New Roman" w:hAnsi="Times New Roman" w:cs="Times New Roman"/>
                <w:highlight w:val="white"/>
              </w:rPr>
            </w:pPr>
            <w:r>
              <w:rPr>
                <w:rFonts w:ascii="Times New Roman" w:hAnsi="Times New Roman" w:cs="Times New Roman"/>
                <w:sz w:val="24"/>
                <w:szCs w:val="24"/>
              </w:rPr>
              <w:t>-</w:t>
            </w:r>
          </w:p>
        </w:tc>
      </w:tr>
      <w:tr w:rsidR="00A73167" w:rsidTr="00416A3D">
        <w:trPr>
          <w:trHeight w:val="276"/>
        </w:trPr>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000000"/>
            </w:tcBorders>
          </w:tcPr>
          <w:p w:rsidR="00A73167" w:rsidRDefault="00F524E7">
            <w:pPr>
              <w:rPr>
                <w:rFonts w:ascii="Times New Roman" w:hAnsi="Times New Roman" w:cs="Times New Roman"/>
                <w:highlight w:val="white"/>
              </w:rPr>
            </w:pPr>
            <w:r>
              <w:rPr>
                <w:rFonts w:ascii="Times New Roman" w:eastAsia="Times New Roman" w:hAnsi="Times New Roman" w:cs="Times New Roman"/>
                <w:color w:val="000000"/>
                <w:sz w:val="24"/>
                <w:szCs w:val="24"/>
              </w:rPr>
              <w:t>Теплоснабжение, Гкал/ч</w:t>
            </w:r>
          </w:p>
        </w:tc>
        <w:tc>
          <w:tcPr>
            <w:tcW w:w="3714" w:type="dxa"/>
            <w:tcBorders>
              <w:left w:val="single" w:sz="4" w:space="0" w:color="000000"/>
            </w:tcBorders>
          </w:tcPr>
          <w:p w:rsidR="00A73167" w:rsidRDefault="00F524E7">
            <w:pPr>
              <w:rPr>
                <w:rFonts w:ascii="Times New Roman" w:hAnsi="Times New Roman" w:cs="Times New Roman"/>
                <w:highlight w:val="white"/>
              </w:rPr>
            </w:pPr>
            <w:r>
              <w:rPr>
                <w:rFonts w:ascii="Times New Roman" w:hAnsi="Times New Roman" w:cs="Times New Roman"/>
                <w:sz w:val="24"/>
                <w:szCs w:val="24"/>
              </w:rPr>
              <w:t>-</w:t>
            </w:r>
          </w:p>
        </w:tc>
      </w:tr>
      <w:tr w:rsidR="00A73167" w:rsidTr="00416A3D">
        <w:trPr>
          <w:trHeight w:val="276"/>
        </w:trPr>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000000"/>
            </w:tcBorders>
          </w:tcPr>
          <w:p w:rsidR="00A73167" w:rsidRDefault="00F524E7">
            <w:pPr>
              <w:rPr>
                <w:rFonts w:ascii="Times New Roman" w:hAnsi="Times New Roman" w:cs="Times New Roman"/>
                <w:highlight w:val="white"/>
              </w:rPr>
            </w:pPr>
            <w:r>
              <w:rPr>
                <w:rFonts w:ascii="Times New Roman" w:eastAsia="Times New Roman" w:hAnsi="Times New Roman" w:cs="Times New Roman"/>
                <w:color w:val="000000"/>
                <w:sz w:val="24"/>
                <w:szCs w:val="24"/>
              </w:rPr>
              <w:t>Газоснабжение, м</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час</w:t>
            </w:r>
          </w:p>
        </w:tc>
        <w:tc>
          <w:tcPr>
            <w:tcW w:w="3714" w:type="dxa"/>
            <w:tcBorders>
              <w:left w:val="single" w:sz="4" w:space="0" w:color="000000"/>
            </w:tcBorders>
          </w:tcPr>
          <w:p w:rsidR="00A73167" w:rsidRDefault="00F524E7">
            <w:pPr>
              <w:rPr>
                <w:rFonts w:ascii="Times New Roman" w:hAnsi="Times New Roman" w:cs="Times New Roman"/>
                <w:highlight w:val="white"/>
              </w:rPr>
            </w:pPr>
            <w:r>
              <w:rPr>
                <w:rFonts w:ascii="Times New Roman" w:hAnsi="Times New Roman" w:cs="Times New Roman"/>
                <w:sz w:val="24"/>
                <w:szCs w:val="24"/>
              </w:rPr>
              <w:t>-</w:t>
            </w:r>
          </w:p>
        </w:tc>
      </w:tr>
      <w:tr w:rsidR="00A73167" w:rsidTr="00416A3D">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auto"/>
            </w:tcBorders>
          </w:tcPr>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Наличие ж/д</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ветки на</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земельном</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участке или</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возможность</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присоединения не</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более 1 км</w:t>
            </w:r>
          </w:p>
        </w:tc>
        <w:tc>
          <w:tcPr>
            <w:tcW w:w="3714" w:type="dxa"/>
            <w:tcBorders>
              <w:left w:val="single" w:sz="4" w:space="0" w:color="auto"/>
            </w:tcBorders>
          </w:tcPr>
          <w:p w:rsidR="00A73167" w:rsidRDefault="00F524E7">
            <w:pPr>
              <w:rPr>
                <w:rFonts w:ascii="Times New Roman" w:hAnsi="Times New Roman" w:cs="Times New Roman"/>
                <w:b/>
                <w:bCs/>
                <w:sz w:val="24"/>
                <w:szCs w:val="24"/>
                <w:highlight w:val="white"/>
              </w:rPr>
            </w:pPr>
            <w:r>
              <w:rPr>
                <w:rFonts w:ascii="Times New Roman" w:hAnsi="Times New Roman" w:cs="Times New Roman"/>
                <w:sz w:val="24"/>
                <w:szCs w:val="24"/>
                <w:highlight w:val="white"/>
              </w:rPr>
              <w:lastRenderedPageBreak/>
              <w:t>отсутствует</w:t>
            </w:r>
            <w:r>
              <w:rPr>
                <w:rFonts w:ascii="Times New Roman" w:hAnsi="Times New Roman" w:cs="Times New Roman"/>
                <w:b/>
                <w:bCs/>
                <w:sz w:val="24"/>
                <w:szCs w:val="24"/>
                <w:highlight w:val="white"/>
              </w:rPr>
              <w:t xml:space="preserve"> </w:t>
            </w:r>
          </w:p>
          <w:p w:rsidR="00A73167" w:rsidRDefault="00A73167">
            <w:pPr>
              <w:rPr>
                <w:rFonts w:ascii="Times New Roman" w:hAnsi="Times New Roman" w:cs="Times New Roman"/>
                <w:b/>
                <w:bCs/>
                <w:sz w:val="24"/>
                <w:szCs w:val="24"/>
                <w:highlight w:val="white"/>
              </w:rPr>
            </w:pPr>
          </w:p>
          <w:p w:rsidR="00A73167" w:rsidRDefault="00A73167">
            <w:pPr>
              <w:rPr>
                <w:rFonts w:ascii="Times New Roman" w:hAnsi="Times New Roman" w:cs="Times New Roman"/>
                <w:b/>
                <w:bCs/>
                <w:sz w:val="24"/>
                <w:szCs w:val="24"/>
                <w:highlight w:val="white"/>
              </w:rPr>
            </w:pPr>
          </w:p>
          <w:p w:rsidR="00A73167" w:rsidRDefault="00A73167">
            <w:pPr>
              <w:rPr>
                <w:rFonts w:ascii="Times New Roman" w:hAnsi="Times New Roman" w:cs="Times New Roman"/>
                <w:b/>
                <w:bCs/>
                <w:sz w:val="24"/>
                <w:szCs w:val="24"/>
                <w:highlight w:val="white"/>
              </w:rPr>
            </w:pPr>
          </w:p>
          <w:p w:rsidR="00A73167" w:rsidRDefault="00A73167">
            <w:pPr>
              <w:rPr>
                <w:rFonts w:ascii="Times New Roman" w:hAnsi="Times New Roman" w:cs="Times New Roman"/>
                <w:b/>
                <w:bCs/>
                <w:sz w:val="24"/>
                <w:szCs w:val="24"/>
                <w:highlight w:val="white"/>
              </w:rPr>
            </w:pPr>
          </w:p>
          <w:p w:rsidR="00A73167" w:rsidRDefault="00A73167">
            <w:pPr>
              <w:rPr>
                <w:rFonts w:ascii="Times New Roman" w:hAnsi="Times New Roman" w:cs="Times New Roman"/>
                <w:b/>
                <w:bCs/>
                <w:sz w:val="24"/>
                <w:szCs w:val="24"/>
                <w:highlight w:val="white"/>
              </w:rPr>
            </w:pPr>
          </w:p>
        </w:tc>
      </w:tr>
      <w:tr w:rsidR="00A73167" w:rsidTr="00416A3D">
        <w:tc>
          <w:tcPr>
            <w:tcW w:w="4743" w:type="dxa"/>
            <w:gridSpan w:val="3"/>
            <w:vMerge/>
          </w:tcPr>
          <w:p w:rsidR="00A73167" w:rsidRDefault="00A73167">
            <w:pPr>
              <w:rPr>
                <w:rFonts w:ascii="Times New Roman" w:hAnsi="Times New Roman" w:cs="Times New Roman"/>
                <w:sz w:val="24"/>
                <w:szCs w:val="24"/>
              </w:rPr>
            </w:pPr>
          </w:p>
        </w:tc>
        <w:tc>
          <w:tcPr>
            <w:tcW w:w="2311" w:type="dxa"/>
            <w:tcBorders>
              <w:right w:val="single" w:sz="4" w:space="0" w:color="auto"/>
            </w:tcBorders>
          </w:tcPr>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Ближайшая</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федеральная</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трасса (тип</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трассы и</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расстояние до</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трассы)</w:t>
            </w:r>
          </w:p>
        </w:tc>
        <w:tc>
          <w:tcPr>
            <w:tcW w:w="3714" w:type="dxa"/>
            <w:tcBorders>
              <w:left w:val="single" w:sz="4" w:space="0" w:color="auto"/>
            </w:tcBorders>
          </w:tcPr>
          <w:p w:rsidR="00A73167" w:rsidRDefault="00F524E7">
            <w:pPr>
              <w:jc w:val="both"/>
              <w:rPr>
                <w:rFonts w:ascii="Times New Roman" w:hAnsi="Times New Roman" w:cs="Times New Roman"/>
                <w:b/>
                <w:bCs/>
                <w:sz w:val="24"/>
                <w:szCs w:val="24"/>
                <w:highlight w:val="white"/>
              </w:rPr>
            </w:pPr>
            <w:r>
              <w:rPr>
                <w:rFonts w:ascii="Times New Roman" w:hAnsi="Times New Roman" w:cs="Times New Roman"/>
                <w:sz w:val="24"/>
                <w:szCs w:val="24"/>
                <w:highlight w:val="white"/>
              </w:rPr>
              <w:t xml:space="preserve">Медицинский центр запроектирован в максимальной транспортной доступности и связанности с </w:t>
            </w:r>
            <w:r>
              <w:rPr>
                <w:rFonts w:ascii="Times New Roman" w:hAnsi="Times New Roman" w:cs="Times New Roman"/>
                <w:sz w:val="24"/>
                <w:szCs w:val="24"/>
                <w:highlight w:val="white"/>
              </w:rPr>
              <w:br/>
              <w:t>г. Сургутом.</w:t>
            </w:r>
          </w:p>
        </w:tc>
      </w:tr>
      <w:tr w:rsidR="00A73167" w:rsidTr="00416A3D">
        <w:tc>
          <w:tcPr>
            <w:tcW w:w="4743" w:type="dxa"/>
            <w:gridSpan w:val="3"/>
            <w:tcBorders>
              <w:top w:val="single" w:sz="4" w:space="0" w:color="auto"/>
            </w:tcBorders>
          </w:tcPr>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Возможность подключения к</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инженерной инфраструктуре, включая</w:t>
            </w:r>
          </w:p>
          <w:p w:rsidR="00A73167" w:rsidRDefault="00F524E7">
            <w:pPr>
              <w:rPr>
                <w:rFonts w:ascii="Times New Roman" w:hAnsi="Times New Roman" w:cs="Times New Roman"/>
                <w:sz w:val="24"/>
                <w:szCs w:val="24"/>
                <w:highlight w:val="white"/>
              </w:rPr>
            </w:pPr>
            <w:r>
              <w:rPr>
                <w:rFonts w:ascii="Times New Roman" w:hAnsi="Times New Roman" w:cs="Times New Roman"/>
                <w:sz w:val="24"/>
                <w:szCs w:val="24"/>
                <w:highlight w:val="white"/>
              </w:rPr>
              <w:t>прогнозируемые сроки и стоимость</w:t>
            </w:r>
          </w:p>
        </w:tc>
        <w:tc>
          <w:tcPr>
            <w:tcW w:w="6025" w:type="dxa"/>
            <w:gridSpan w:val="2"/>
          </w:tcPr>
          <w:p w:rsidR="00A73167" w:rsidRDefault="00F524E7">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Электроснабжение</w:t>
            </w:r>
          </w:p>
          <w:p w:rsidR="00A73167" w:rsidRDefault="00F524E7">
            <w:pPr>
              <w:jc w:val="both"/>
              <w:rPr>
                <w:rFonts w:ascii="Times New Roman" w:hAnsi="Times New Roman" w:cs="Times New Roman"/>
                <w:sz w:val="24"/>
                <w:szCs w:val="24"/>
              </w:rPr>
            </w:pPr>
            <w:r>
              <w:rPr>
                <w:rFonts w:ascii="Times New Roman" w:hAnsi="Times New Roman" w:cs="Times New Roman"/>
                <w:sz w:val="24"/>
                <w:szCs w:val="24"/>
                <w:highlight w:val="white"/>
              </w:rPr>
              <w:t>Подключение объекта будет предусмотрено от внутриквартальных сетей электроснабжения.</w:t>
            </w:r>
          </w:p>
          <w:p w:rsidR="00A73167" w:rsidRDefault="00F524E7">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Водоотведение</w:t>
            </w:r>
          </w:p>
          <w:p w:rsidR="00A73167" w:rsidRDefault="00F524E7">
            <w:pPr>
              <w:jc w:val="both"/>
              <w:rPr>
                <w:rFonts w:ascii="Times New Roman" w:hAnsi="Times New Roman" w:cs="Times New Roman"/>
                <w:sz w:val="24"/>
                <w:szCs w:val="24"/>
              </w:rPr>
            </w:pPr>
            <w:r>
              <w:rPr>
                <w:rFonts w:ascii="Times New Roman" w:hAnsi="Times New Roman" w:cs="Times New Roman"/>
                <w:sz w:val="24"/>
                <w:szCs w:val="24"/>
                <w:highlight w:val="white"/>
              </w:rPr>
              <w:t>Технологическая возможность подключения к централизованным сетям канализации предусмотрена.</w:t>
            </w:r>
          </w:p>
          <w:p w:rsidR="00A73167" w:rsidRDefault="00F524E7">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Водоснабжение </w:t>
            </w:r>
          </w:p>
          <w:p w:rsidR="00A73167" w:rsidRDefault="00F524E7">
            <w:pPr>
              <w:jc w:val="both"/>
              <w:rPr>
                <w:rFonts w:ascii="Times New Roman" w:hAnsi="Times New Roman" w:cs="Times New Roman"/>
                <w:sz w:val="24"/>
                <w:szCs w:val="24"/>
              </w:rPr>
            </w:pPr>
            <w:r>
              <w:rPr>
                <w:rFonts w:ascii="Times New Roman" w:hAnsi="Times New Roman" w:cs="Times New Roman"/>
                <w:sz w:val="24"/>
                <w:szCs w:val="24"/>
                <w:highlight w:val="white"/>
              </w:rPr>
              <w:t>Технологическая возможность подключения к централизованным сетям канализации предусмотрена.</w:t>
            </w:r>
          </w:p>
          <w:p w:rsidR="00A73167" w:rsidRDefault="00F524E7">
            <w:pPr>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Теплоснабжение</w:t>
            </w:r>
          </w:p>
          <w:p w:rsidR="00A73167" w:rsidRDefault="00F524E7">
            <w:pPr>
              <w:jc w:val="both"/>
              <w:rPr>
                <w:rFonts w:ascii="Times New Roman" w:hAnsi="Times New Roman" w:cs="Times New Roman"/>
                <w:sz w:val="24"/>
                <w:szCs w:val="24"/>
              </w:rPr>
            </w:pPr>
            <w:r>
              <w:rPr>
                <w:rFonts w:ascii="Times New Roman" w:hAnsi="Times New Roman" w:cs="Times New Roman"/>
                <w:sz w:val="24"/>
                <w:szCs w:val="24"/>
                <w:highlight w:val="white"/>
              </w:rPr>
              <w:t>Технологическая возможность подключения к централизованным сетям теплоснабжения предусмотрена.</w:t>
            </w:r>
          </w:p>
          <w:p w:rsidR="00A73167" w:rsidRDefault="00F524E7">
            <w:pPr>
              <w:jc w:val="both"/>
            </w:pPr>
            <w:r>
              <w:rPr>
                <w:rFonts w:ascii="Times New Roman" w:hAnsi="Times New Roman" w:cs="Times New Roman"/>
                <w:sz w:val="24"/>
                <w:szCs w:val="24"/>
              </w:rPr>
              <w:t>В настоящее время администрацией города Сургута выполняется строительство следующих инженерных сетей к Научно-технологическому центру: сети теплоснабжения, внутриквартальные сети</w:t>
            </w:r>
          </w:p>
          <w:p w:rsidR="00A73167" w:rsidRDefault="00F524E7">
            <w:pPr>
              <w:jc w:val="both"/>
            </w:pPr>
            <w:r>
              <w:rPr>
                <w:rFonts w:ascii="Times New Roman" w:hAnsi="Times New Roman" w:cs="Times New Roman"/>
                <w:sz w:val="24"/>
                <w:szCs w:val="24"/>
              </w:rPr>
              <w:t>электроснабжения, сети газоснабжения, сети водоснабжения, сети водоотведения.</w:t>
            </w:r>
          </w:p>
          <w:p w:rsidR="00A73167" w:rsidRDefault="00F524E7">
            <w:pPr>
              <w:jc w:val="both"/>
              <w:rPr>
                <w:rFonts w:ascii="Times New Roman" w:hAnsi="Times New Roman" w:cs="Times New Roman"/>
                <w:sz w:val="24"/>
                <w:szCs w:val="24"/>
              </w:rPr>
            </w:pPr>
            <w:r>
              <w:rPr>
                <w:rFonts w:ascii="Times New Roman" w:hAnsi="Times New Roman" w:cs="Times New Roman"/>
                <w:sz w:val="24"/>
                <w:szCs w:val="24"/>
              </w:rPr>
              <w:t xml:space="preserve">Окончание строительства всех указанных сетей –  конец 2025 года. </w:t>
            </w:r>
          </w:p>
        </w:tc>
      </w:tr>
      <w:tr w:rsidR="00A73167" w:rsidTr="00416A3D">
        <w:tc>
          <w:tcPr>
            <w:tcW w:w="10768" w:type="dxa"/>
            <w:gridSpan w:val="5"/>
          </w:tcPr>
          <w:p w:rsidR="00A73167" w:rsidRDefault="00F524E7">
            <w:pPr>
              <w:jc w:val="center"/>
              <w:rPr>
                <w:rFonts w:ascii="Times New Roman" w:hAnsi="Times New Roman" w:cs="Times New Roman"/>
                <w:sz w:val="24"/>
                <w:szCs w:val="24"/>
              </w:rPr>
            </w:pPr>
            <w:r>
              <w:rPr>
                <w:rFonts w:ascii="Times New Roman" w:hAnsi="Times New Roman" w:cs="Times New Roman"/>
                <w:sz w:val="24"/>
                <w:szCs w:val="24"/>
              </w:rPr>
              <w:t>Иное ресурсное обеспечение инвестиционного проекта</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Ключевые федеральные и региональные меры государственной поддержки, оказывающие влияние на реализацию инвестиционного проекта</w:t>
            </w:r>
          </w:p>
        </w:tc>
        <w:tc>
          <w:tcPr>
            <w:tcW w:w="6025" w:type="dxa"/>
            <w:gridSpan w:val="2"/>
          </w:tcPr>
          <w:p w:rsidR="00A73167" w:rsidRDefault="00F524E7">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Pr>
                <w:rFonts w:ascii="Times New Roman" w:eastAsia="Times New Roman" w:hAnsi="Times New Roman" w:cs="Times New Roman"/>
                <w:color w:val="051637"/>
                <w:sz w:val="24"/>
                <w:szCs w:val="24"/>
              </w:rPr>
              <w:t>1. Для организаций, получивших статус участника проекта ИНТЦ «ЮНИТИ ПАРК»:</w:t>
            </w:r>
          </w:p>
          <w:p w:rsidR="00A73167" w:rsidRDefault="00F524E7">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Pr>
                <w:rFonts w:ascii="Times New Roman" w:eastAsia="Times New Roman" w:hAnsi="Times New Roman" w:cs="Times New Roman"/>
                <w:b/>
                <w:color w:val="051637"/>
                <w:sz w:val="24"/>
                <w:szCs w:val="24"/>
              </w:rPr>
              <w:t>Налог на добавленную стоимость</w:t>
            </w:r>
            <w:r>
              <w:rPr>
                <w:rFonts w:ascii="Times New Roman" w:eastAsia="Times New Roman" w:hAnsi="Times New Roman" w:cs="Times New Roman"/>
                <w:b/>
                <w:color w:val="051637"/>
                <w:sz w:val="24"/>
                <w:szCs w:val="24"/>
              </w:rPr>
              <w:br/>
              <w:t>0%</w:t>
            </w:r>
            <w:r>
              <w:rPr>
                <w:rFonts w:ascii="Times New Roman" w:eastAsia="Times New Roman" w:hAnsi="Times New Roman" w:cs="Times New Roman"/>
                <w:color w:val="051637"/>
                <w:sz w:val="24"/>
                <w:szCs w:val="24"/>
              </w:rPr>
              <w:t xml:space="preserve"> первые 10 лет </w:t>
            </w:r>
          </w:p>
          <w:p w:rsidR="00A73167" w:rsidRDefault="00F524E7">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Pr>
                <w:rFonts w:ascii="Times New Roman" w:eastAsia="Times New Roman" w:hAnsi="Times New Roman" w:cs="Times New Roman"/>
                <w:b/>
                <w:color w:val="051637"/>
                <w:sz w:val="24"/>
                <w:szCs w:val="24"/>
              </w:rPr>
              <w:t>Налог на прибыль организаций</w:t>
            </w:r>
          </w:p>
          <w:p w:rsidR="00A73167" w:rsidRDefault="00F524E7">
            <w:pPr>
              <w:pBdr>
                <w:top w:val="none" w:sz="4" w:space="0" w:color="000000"/>
                <w:left w:val="none" w:sz="4" w:space="0" w:color="000000"/>
                <w:bottom w:val="none" w:sz="4" w:space="0" w:color="000000"/>
                <w:right w:val="none" w:sz="4" w:space="0" w:color="000000"/>
              </w:pBdr>
              <w:shd w:val="clear" w:color="FFFFFF" w:fill="FFFFFF"/>
              <w:tabs>
                <w:tab w:val="left" w:pos="720"/>
              </w:tabs>
              <w:rPr>
                <w:rFonts w:ascii="Times New Roman" w:hAnsi="Times New Roman" w:cs="Times New Roman"/>
                <w:sz w:val="24"/>
                <w:szCs w:val="24"/>
              </w:rPr>
            </w:pPr>
            <w:r>
              <w:rPr>
                <w:rFonts w:ascii="Times New Roman" w:eastAsia="Times New Roman" w:hAnsi="Times New Roman" w:cs="Times New Roman"/>
                <w:color w:val="051637"/>
                <w:sz w:val="24"/>
                <w:szCs w:val="24"/>
              </w:rPr>
              <w:t xml:space="preserve">0% первые 10 лет </w:t>
            </w:r>
          </w:p>
          <w:p w:rsidR="00A73167" w:rsidRDefault="00F524E7">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Pr>
                <w:rFonts w:ascii="Times New Roman" w:eastAsia="Times New Roman" w:hAnsi="Times New Roman" w:cs="Times New Roman"/>
                <w:b/>
                <w:color w:val="051637"/>
                <w:sz w:val="24"/>
                <w:szCs w:val="24"/>
              </w:rPr>
              <w:t>Страховые взносы</w:t>
            </w:r>
          </w:p>
          <w:p w:rsidR="00A73167" w:rsidRDefault="00F524E7">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Pr>
                <w:rFonts w:ascii="Times New Roman" w:eastAsia="Times New Roman" w:hAnsi="Times New Roman" w:cs="Times New Roman"/>
                <w:color w:val="051637"/>
                <w:sz w:val="24"/>
                <w:szCs w:val="24"/>
              </w:rPr>
              <w:t xml:space="preserve">пониженный тариф в размере 15% </w:t>
            </w:r>
          </w:p>
          <w:p w:rsidR="00A73167" w:rsidRDefault="00F524E7">
            <w:pPr>
              <w:pBdr>
                <w:top w:val="none" w:sz="4" w:space="0" w:color="000000"/>
                <w:left w:val="none" w:sz="4" w:space="0" w:color="000000"/>
                <w:bottom w:val="none" w:sz="4" w:space="0" w:color="000000"/>
                <w:right w:val="none" w:sz="4" w:space="0" w:color="000000"/>
              </w:pBdr>
              <w:shd w:val="clear" w:color="FFFFFF" w:fill="FFFFFF"/>
              <w:rPr>
                <w:rFonts w:ascii="Times New Roman" w:hAnsi="Times New Roman" w:cs="Times New Roman"/>
                <w:sz w:val="24"/>
                <w:szCs w:val="24"/>
              </w:rPr>
            </w:pPr>
            <w:r>
              <w:rPr>
                <w:rFonts w:ascii="Times New Roman" w:eastAsia="Times New Roman" w:hAnsi="Times New Roman" w:cs="Times New Roman"/>
                <w:b/>
                <w:color w:val="051637"/>
                <w:sz w:val="24"/>
                <w:szCs w:val="24"/>
              </w:rPr>
              <w:t>Налог на имущество организаций</w:t>
            </w:r>
          </w:p>
          <w:p w:rsidR="00A73167" w:rsidRDefault="00F524E7">
            <w:pPr>
              <w:pBdr>
                <w:top w:val="none" w:sz="4" w:space="0" w:color="000000"/>
                <w:left w:val="none" w:sz="4" w:space="0" w:color="000000"/>
                <w:bottom w:val="none" w:sz="4" w:space="0" w:color="000000"/>
                <w:right w:val="none" w:sz="4" w:space="0" w:color="000000"/>
              </w:pBdr>
              <w:shd w:val="clear" w:color="FFFFFF" w:fill="FFFFFF"/>
              <w:tabs>
                <w:tab w:val="left" w:pos="720"/>
              </w:tabs>
              <w:rPr>
                <w:rFonts w:ascii="Times New Roman" w:hAnsi="Times New Roman" w:cs="Times New Roman"/>
                <w:color w:val="051637"/>
                <w:sz w:val="24"/>
                <w:szCs w:val="24"/>
              </w:rPr>
            </w:pPr>
            <w:r>
              <w:rPr>
                <w:rFonts w:ascii="Times New Roman" w:eastAsia="Times New Roman" w:hAnsi="Times New Roman" w:cs="Times New Roman"/>
                <w:color w:val="051637"/>
                <w:sz w:val="24"/>
                <w:szCs w:val="24"/>
              </w:rPr>
              <w:t>0% первые 10 лет</w:t>
            </w:r>
          </w:p>
          <w:p w:rsidR="00A73167" w:rsidRDefault="00F524E7">
            <w:pPr>
              <w:pBdr>
                <w:top w:val="none" w:sz="4" w:space="0" w:color="000000"/>
                <w:left w:val="none" w:sz="4" w:space="0" w:color="000000"/>
                <w:bottom w:val="none" w:sz="4" w:space="0" w:color="000000"/>
                <w:right w:val="none" w:sz="4" w:space="0" w:color="000000"/>
              </w:pBdr>
              <w:shd w:val="clear" w:color="FFFFFF" w:fill="FFFFFF"/>
              <w:tabs>
                <w:tab w:val="left" w:pos="720"/>
              </w:tabs>
              <w:rPr>
                <w:rFonts w:ascii="Times New Roman" w:hAnsi="Times New Roman" w:cs="Times New Roman"/>
                <w:sz w:val="24"/>
                <w:szCs w:val="24"/>
              </w:rPr>
            </w:pPr>
            <w:r>
              <w:rPr>
                <w:rFonts w:ascii="Times New Roman" w:eastAsia="Times New Roman" w:hAnsi="Times New Roman" w:cs="Times New Roman"/>
                <w:color w:val="051637"/>
                <w:sz w:val="24"/>
                <w:szCs w:val="24"/>
              </w:rPr>
              <w:t xml:space="preserve">2. </w:t>
            </w:r>
            <w:r>
              <w:rPr>
                <w:rFonts w:ascii="Times New Roman" w:hAnsi="Times New Roman" w:cs="Times New Roman"/>
                <w:sz w:val="24"/>
                <w:szCs w:val="24"/>
              </w:rPr>
              <w:t>Сопровождение проекта по принципу «Одного окна».</w:t>
            </w:r>
          </w:p>
          <w:p w:rsidR="00A73167" w:rsidRDefault="00F524E7">
            <w:pPr>
              <w:pBdr>
                <w:top w:val="none" w:sz="4" w:space="0" w:color="000000"/>
                <w:left w:val="none" w:sz="4" w:space="0" w:color="000000"/>
                <w:bottom w:val="none" w:sz="4" w:space="0" w:color="000000"/>
                <w:right w:val="none" w:sz="4" w:space="0" w:color="000000"/>
              </w:pBdr>
              <w:shd w:val="clear" w:color="FFFFFF" w:fill="FFFFFF"/>
              <w:tabs>
                <w:tab w:val="left" w:pos="720"/>
              </w:tabs>
              <w:rPr>
                <w:rFonts w:ascii="Times New Roman" w:hAnsi="Times New Roman" w:cs="Times New Roman"/>
                <w:sz w:val="24"/>
                <w:szCs w:val="24"/>
              </w:rPr>
            </w:pPr>
            <w:r>
              <w:rPr>
                <w:rFonts w:ascii="Times New Roman" w:hAnsi="Times New Roman" w:cs="Times New Roman"/>
                <w:sz w:val="24"/>
                <w:szCs w:val="24"/>
              </w:rPr>
              <w:t>3.  Предоставление земельного участка с примыканием к автодороге.</w:t>
            </w:r>
          </w:p>
          <w:p w:rsidR="00A73167" w:rsidRDefault="00F524E7">
            <w:pPr>
              <w:pBdr>
                <w:top w:val="none" w:sz="4" w:space="0" w:color="000000"/>
                <w:left w:val="none" w:sz="4" w:space="0" w:color="000000"/>
                <w:bottom w:val="none" w:sz="4" w:space="0" w:color="000000"/>
                <w:right w:val="none" w:sz="4" w:space="0" w:color="000000"/>
              </w:pBdr>
              <w:shd w:val="clear" w:color="FFFFFF" w:fill="FFFFFF"/>
              <w:tabs>
                <w:tab w:val="left" w:pos="720"/>
              </w:tabs>
              <w:rPr>
                <w:rFonts w:ascii="Times New Roman" w:hAnsi="Times New Roman" w:cs="Times New Roman"/>
                <w:sz w:val="24"/>
                <w:szCs w:val="24"/>
              </w:rPr>
            </w:pPr>
            <w:r>
              <w:rPr>
                <w:rFonts w:ascii="Times New Roman" w:hAnsi="Times New Roman" w:cs="Times New Roman"/>
                <w:sz w:val="24"/>
                <w:szCs w:val="24"/>
              </w:rPr>
              <w:t>4. Координация в части взаимодействия с администрациями муниципальных образований – продвижение проекта в деловой среде.</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 xml:space="preserve">Возможность </w:t>
            </w:r>
            <w:proofErr w:type="spellStart"/>
            <w:r>
              <w:rPr>
                <w:rFonts w:ascii="Times New Roman" w:hAnsi="Times New Roman" w:cs="Times New Roman"/>
                <w:sz w:val="24"/>
                <w:szCs w:val="24"/>
              </w:rPr>
              <w:t>софинансирования</w:t>
            </w:r>
            <w:proofErr w:type="spellEnd"/>
          </w:p>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инвестиционного проекта</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нет</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Обязательства субъекта Российской</w:t>
            </w:r>
          </w:p>
          <w:p w:rsidR="00A73167" w:rsidRDefault="00F524E7">
            <w:pPr>
              <w:rPr>
                <w:rFonts w:ascii="Times New Roman" w:hAnsi="Times New Roman" w:cs="Times New Roman"/>
                <w:sz w:val="24"/>
                <w:szCs w:val="24"/>
              </w:rPr>
            </w:pPr>
            <w:r>
              <w:rPr>
                <w:rFonts w:ascii="Times New Roman" w:hAnsi="Times New Roman" w:cs="Times New Roman"/>
                <w:sz w:val="24"/>
                <w:szCs w:val="24"/>
              </w:rPr>
              <w:t>Федерации, связанные с реализацией</w:t>
            </w:r>
          </w:p>
          <w:p w:rsidR="00A73167" w:rsidRDefault="00F524E7">
            <w:pPr>
              <w:rPr>
                <w:rFonts w:ascii="Times New Roman" w:hAnsi="Times New Roman" w:cs="Times New Roman"/>
                <w:sz w:val="24"/>
                <w:szCs w:val="24"/>
              </w:rPr>
            </w:pPr>
            <w:r>
              <w:rPr>
                <w:rFonts w:ascii="Times New Roman" w:hAnsi="Times New Roman" w:cs="Times New Roman"/>
                <w:sz w:val="24"/>
                <w:szCs w:val="24"/>
              </w:rPr>
              <w:t>инвестиционного проекта</w:t>
            </w:r>
          </w:p>
          <w:p w:rsidR="00A73167" w:rsidRDefault="00F524E7">
            <w:pPr>
              <w:rPr>
                <w:rFonts w:ascii="Times New Roman" w:hAnsi="Times New Roman" w:cs="Times New Roman"/>
                <w:sz w:val="24"/>
                <w:szCs w:val="24"/>
              </w:rPr>
            </w:pPr>
            <w:r>
              <w:rPr>
                <w:rFonts w:ascii="Times New Roman" w:hAnsi="Times New Roman" w:cs="Times New Roman"/>
                <w:sz w:val="24"/>
                <w:szCs w:val="24"/>
              </w:rPr>
              <w:t>(при наличии)</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нет</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Возможности и условия партнерства при</w:t>
            </w:r>
          </w:p>
          <w:p w:rsidR="00A73167" w:rsidRDefault="00F524E7">
            <w:pPr>
              <w:rPr>
                <w:rFonts w:ascii="Times New Roman" w:hAnsi="Times New Roman" w:cs="Times New Roman"/>
                <w:sz w:val="24"/>
                <w:szCs w:val="24"/>
              </w:rPr>
            </w:pPr>
            <w:r>
              <w:rPr>
                <w:rFonts w:ascii="Times New Roman" w:hAnsi="Times New Roman" w:cs="Times New Roman"/>
                <w:sz w:val="24"/>
                <w:szCs w:val="24"/>
              </w:rPr>
              <w:t>реализации инвестиционного проекта</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bCs/>
                <w:sz w:val="24"/>
                <w:szCs w:val="24"/>
              </w:rPr>
              <w:t>нет</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Логистические преимущества субъекта</w:t>
            </w:r>
          </w:p>
          <w:p w:rsidR="00A73167" w:rsidRDefault="00F524E7">
            <w:pPr>
              <w:rPr>
                <w:rFonts w:ascii="Times New Roman" w:hAnsi="Times New Roman" w:cs="Times New Roman"/>
                <w:sz w:val="24"/>
                <w:szCs w:val="24"/>
              </w:rPr>
            </w:pPr>
            <w:r>
              <w:rPr>
                <w:rFonts w:ascii="Times New Roman" w:hAnsi="Times New Roman" w:cs="Times New Roman"/>
                <w:sz w:val="24"/>
                <w:szCs w:val="24"/>
              </w:rPr>
              <w:t>Российской Федерации</w:t>
            </w:r>
          </w:p>
        </w:tc>
        <w:tc>
          <w:tcPr>
            <w:tcW w:w="6025" w:type="dxa"/>
            <w:gridSpan w:val="2"/>
          </w:tcPr>
          <w:p w:rsidR="00A73167" w:rsidRDefault="00F524E7">
            <w:pPr>
              <w:ind w:firstLine="266"/>
              <w:jc w:val="both"/>
              <w:rPr>
                <w:rFonts w:ascii="Times New Roman" w:hAnsi="Times New Roman" w:cs="Times New Roman"/>
                <w:sz w:val="24"/>
                <w:szCs w:val="24"/>
              </w:rPr>
            </w:pPr>
            <w:r>
              <w:rPr>
                <w:rFonts w:ascii="Times New Roman" w:hAnsi="Times New Roman" w:cs="Times New Roman"/>
                <w:sz w:val="24"/>
                <w:szCs w:val="24"/>
              </w:rPr>
              <w:t>Ханты-Мансийский автономный округ – Югра имеет выгодное географическое и, соответственно, логистическое расположение: регион граничит одновременно с шестью субъектами Российской Федерации, являющимися важными промышленными и энергетическими регионами РФ: ЯНАО, Красноярский край, Тюменская область, Томская область, Свердловская область и р. Коми.</w:t>
            </w:r>
          </w:p>
          <w:p w:rsidR="00A73167" w:rsidRDefault="00F524E7">
            <w:pPr>
              <w:ind w:firstLine="266"/>
              <w:jc w:val="both"/>
              <w:rPr>
                <w:rFonts w:ascii="Times New Roman" w:hAnsi="Times New Roman" w:cs="Times New Roman"/>
                <w:sz w:val="24"/>
                <w:szCs w:val="24"/>
              </w:rPr>
            </w:pPr>
            <w:r>
              <w:rPr>
                <w:rFonts w:ascii="Times New Roman" w:hAnsi="Times New Roman" w:cs="Times New Roman"/>
                <w:sz w:val="24"/>
                <w:szCs w:val="24"/>
              </w:rPr>
              <w:t xml:space="preserve">В регионе хорошо развита сеть современных автомобильных, железнодорожных, водных путей, интенсивное авиасообщение с городами России и зарубежья – один из определяющих факторов эффективного развития экономических связей. По территории Югры проходят два из 18-ти основных автодорожных коридоров России: «Северный маршрут» (Пермь – Серов – </w:t>
            </w:r>
            <w:proofErr w:type="spellStart"/>
            <w:r>
              <w:rPr>
                <w:rFonts w:ascii="Times New Roman" w:hAnsi="Times New Roman" w:cs="Times New Roman"/>
                <w:sz w:val="24"/>
                <w:szCs w:val="24"/>
              </w:rPr>
              <w:t>Ивдель</w:t>
            </w:r>
            <w:proofErr w:type="spellEnd"/>
            <w:r>
              <w:rPr>
                <w:rFonts w:ascii="Times New Roman" w:hAnsi="Times New Roman" w:cs="Times New Roman"/>
                <w:sz w:val="24"/>
                <w:szCs w:val="24"/>
              </w:rPr>
              <w:t xml:space="preserve"> – Ханты-Мансийск – </w:t>
            </w:r>
            <w:r>
              <w:rPr>
                <w:rFonts w:ascii="Times New Roman" w:hAnsi="Times New Roman" w:cs="Times New Roman"/>
                <w:sz w:val="24"/>
                <w:szCs w:val="24"/>
              </w:rPr>
              <w:br/>
              <w:t>Нефтеюганск – Сургут – Нижневартовск – Томск) и «Сибирский коридор» (Тюмень – Сургут – Новый Уренгой – Надым – Салехард).</w:t>
            </w:r>
          </w:p>
          <w:p w:rsidR="00A73167" w:rsidRDefault="00F524E7">
            <w:pPr>
              <w:ind w:firstLine="266"/>
              <w:jc w:val="both"/>
              <w:rPr>
                <w:rFonts w:ascii="Times New Roman" w:hAnsi="Times New Roman" w:cs="Times New Roman"/>
                <w:sz w:val="24"/>
                <w:szCs w:val="24"/>
              </w:rPr>
            </w:pPr>
            <w:r>
              <w:rPr>
                <w:rFonts w:ascii="Times New Roman" w:hAnsi="Times New Roman" w:cs="Times New Roman"/>
                <w:sz w:val="24"/>
                <w:szCs w:val="24"/>
              </w:rPr>
              <w:t>Через Ямало-Ненецкий автономный округ осуществляется выход к Северному морскому пути и богатейшим месторождениям шельфа Карского моря и полуострова Ямал.</w:t>
            </w:r>
          </w:p>
          <w:p w:rsidR="00A73167" w:rsidRDefault="00F524E7">
            <w:pPr>
              <w:ind w:firstLine="266"/>
              <w:jc w:val="both"/>
              <w:rPr>
                <w:rFonts w:ascii="Times New Roman" w:hAnsi="Times New Roman" w:cs="Times New Roman"/>
                <w:sz w:val="24"/>
                <w:szCs w:val="24"/>
              </w:rPr>
            </w:pPr>
            <w:r>
              <w:rPr>
                <w:rFonts w:ascii="Times New Roman" w:hAnsi="Times New Roman" w:cs="Times New Roman"/>
                <w:sz w:val="24"/>
                <w:szCs w:val="24"/>
              </w:rPr>
              <w:t xml:space="preserve">В регионе активно развиваются новые направления перевозок и модернизируются существующие пути сообщения. Строительство моста через реку Обь </w:t>
            </w:r>
            <w:r>
              <w:rPr>
                <w:rFonts w:ascii="Times New Roman" w:hAnsi="Times New Roman" w:cs="Times New Roman"/>
                <w:sz w:val="24"/>
                <w:szCs w:val="24"/>
              </w:rPr>
              <w:br/>
              <w:t xml:space="preserve">(п. </w:t>
            </w:r>
            <w:proofErr w:type="spellStart"/>
            <w:r>
              <w:rPr>
                <w:rFonts w:ascii="Times New Roman" w:hAnsi="Times New Roman" w:cs="Times New Roman"/>
                <w:sz w:val="24"/>
                <w:szCs w:val="24"/>
              </w:rPr>
              <w:t>Андра</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пгт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Приобье</w:t>
            </w:r>
            <w:proofErr w:type="spellEnd"/>
            <w:r>
              <w:rPr>
                <w:rFonts w:ascii="Times New Roman" w:hAnsi="Times New Roman" w:cs="Times New Roman"/>
                <w:sz w:val="24"/>
                <w:szCs w:val="24"/>
              </w:rPr>
              <w:t xml:space="preserve">) в перспективе обеспечит прямой выход на международный транспортный коридор «Транссиб», также в Югре реализуется масштабный проект по строительству мостового перехода, протяженность которого составляет более 45 км. Этот объект является одним из крупнейших реализующихся на территории России, поддержан Президентом России. Объект возьмет на себя основную нагрузку двух федеральных транспортных коридоров Тюмень – Тобольск – Сургут – Новый Уренгой – Надым – Салехард и Пермь – </w:t>
            </w:r>
            <w:proofErr w:type="spellStart"/>
            <w:r>
              <w:rPr>
                <w:rFonts w:ascii="Times New Roman" w:hAnsi="Times New Roman" w:cs="Times New Roman"/>
                <w:sz w:val="24"/>
                <w:szCs w:val="24"/>
              </w:rPr>
              <w:t>Ивдель</w:t>
            </w:r>
            <w:proofErr w:type="spellEnd"/>
            <w:r>
              <w:rPr>
                <w:rFonts w:ascii="Times New Roman" w:hAnsi="Times New Roman" w:cs="Times New Roman"/>
                <w:sz w:val="24"/>
                <w:szCs w:val="24"/>
              </w:rPr>
              <w:t xml:space="preserve"> – Ханты-Мансийск – Сургут – Нижневартовск – Томск, которые входят в состав транспортных коридоров Арктика – Азия и Северный широтный коридор.</w:t>
            </w:r>
          </w:p>
          <w:p w:rsidR="00A73167" w:rsidRDefault="00F524E7">
            <w:pPr>
              <w:ind w:firstLine="266"/>
              <w:jc w:val="both"/>
              <w:rPr>
                <w:rFonts w:ascii="Times New Roman" w:hAnsi="Times New Roman" w:cs="Times New Roman"/>
                <w:sz w:val="24"/>
                <w:szCs w:val="24"/>
              </w:rPr>
            </w:pPr>
            <w:r>
              <w:rPr>
                <w:rFonts w:ascii="Times New Roman" w:hAnsi="Times New Roman" w:cs="Times New Roman"/>
                <w:sz w:val="24"/>
                <w:szCs w:val="24"/>
              </w:rPr>
              <w:t>Создание новых транспортно-логистических систем является одной из точек роста для развития промышленности, туризма, торговли и сферы услуг.</w:t>
            </w:r>
          </w:p>
        </w:tc>
      </w:tr>
      <w:tr w:rsidR="00A73167" w:rsidTr="00416A3D">
        <w:tc>
          <w:tcPr>
            <w:tcW w:w="2361" w:type="dxa"/>
            <w:tcBorders>
              <w:right w:val="single" w:sz="4" w:space="0" w:color="auto"/>
            </w:tcBorders>
          </w:tcPr>
          <w:p w:rsidR="00A73167" w:rsidRDefault="00F524E7">
            <w:pPr>
              <w:rPr>
                <w:rFonts w:ascii="Times New Roman" w:hAnsi="Times New Roman" w:cs="Times New Roman"/>
                <w:sz w:val="24"/>
                <w:szCs w:val="24"/>
              </w:rPr>
            </w:pPr>
            <w:r>
              <w:rPr>
                <w:rFonts w:ascii="Times New Roman" w:hAnsi="Times New Roman" w:cs="Times New Roman"/>
                <w:sz w:val="24"/>
                <w:szCs w:val="24"/>
              </w:rPr>
              <w:t>Кадровое</w:t>
            </w:r>
          </w:p>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обеспечение</w:t>
            </w:r>
          </w:p>
          <w:p w:rsidR="00A73167" w:rsidRDefault="00F524E7">
            <w:pPr>
              <w:rPr>
                <w:rFonts w:ascii="Times New Roman" w:hAnsi="Times New Roman" w:cs="Times New Roman"/>
                <w:sz w:val="24"/>
                <w:szCs w:val="24"/>
              </w:rPr>
            </w:pPr>
            <w:r>
              <w:rPr>
                <w:rFonts w:ascii="Times New Roman" w:hAnsi="Times New Roman" w:cs="Times New Roman"/>
                <w:sz w:val="24"/>
                <w:szCs w:val="24"/>
              </w:rPr>
              <w:t>инвестиционного</w:t>
            </w:r>
          </w:p>
          <w:p w:rsidR="00A73167" w:rsidRDefault="00F524E7">
            <w:pPr>
              <w:rPr>
                <w:rFonts w:ascii="Times New Roman" w:hAnsi="Times New Roman" w:cs="Times New Roman"/>
                <w:sz w:val="24"/>
                <w:szCs w:val="24"/>
              </w:rPr>
            </w:pPr>
            <w:r>
              <w:rPr>
                <w:rFonts w:ascii="Times New Roman" w:hAnsi="Times New Roman" w:cs="Times New Roman"/>
                <w:sz w:val="24"/>
                <w:szCs w:val="24"/>
              </w:rPr>
              <w:t>проекта</w:t>
            </w:r>
          </w:p>
        </w:tc>
        <w:tc>
          <w:tcPr>
            <w:tcW w:w="2382" w:type="dxa"/>
            <w:gridSpan w:val="2"/>
            <w:tcBorders>
              <w:left w:val="single" w:sz="4" w:space="0" w:color="auto"/>
            </w:tcBorders>
          </w:tcPr>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Население субъекта</w:t>
            </w:r>
          </w:p>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Российской</w:t>
            </w:r>
          </w:p>
          <w:p w:rsidR="00A73167" w:rsidRDefault="00F524E7">
            <w:pPr>
              <w:rPr>
                <w:rFonts w:ascii="Times New Roman" w:hAnsi="Times New Roman" w:cs="Times New Roman"/>
                <w:sz w:val="24"/>
                <w:szCs w:val="24"/>
              </w:rPr>
            </w:pPr>
            <w:r>
              <w:rPr>
                <w:rFonts w:ascii="Times New Roman" w:hAnsi="Times New Roman" w:cs="Times New Roman"/>
                <w:sz w:val="24"/>
                <w:szCs w:val="24"/>
              </w:rPr>
              <w:t>Федерации (тыс. чел.)</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lastRenderedPageBreak/>
              <w:t>1781,782</w:t>
            </w:r>
          </w:p>
          <w:p w:rsidR="00A73167" w:rsidRDefault="00A73167">
            <w:pPr>
              <w:rPr>
                <w:rFonts w:ascii="Times New Roman" w:hAnsi="Times New Roman" w:cs="Times New Roman"/>
                <w:sz w:val="24"/>
                <w:szCs w:val="24"/>
              </w:rPr>
            </w:pPr>
          </w:p>
        </w:tc>
      </w:tr>
      <w:tr w:rsidR="00A73167" w:rsidTr="00416A3D">
        <w:tc>
          <w:tcPr>
            <w:tcW w:w="2361" w:type="dxa"/>
            <w:tcBorders>
              <w:right w:val="single" w:sz="4" w:space="0" w:color="auto"/>
            </w:tcBorders>
          </w:tcPr>
          <w:p w:rsidR="00A73167" w:rsidRDefault="00A73167">
            <w:pPr>
              <w:rPr>
                <w:rFonts w:ascii="Times New Roman" w:hAnsi="Times New Roman" w:cs="Times New Roman"/>
                <w:sz w:val="24"/>
                <w:szCs w:val="24"/>
              </w:rPr>
            </w:pPr>
          </w:p>
        </w:tc>
        <w:tc>
          <w:tcPr>
            <w:tcW w:w="2382" w:type="dxa"/>
            <w:gridSpan w:val="2"/>
            <w:tcBorders>
              <w:left w:val="single" w:sz="4" w:space="0" w:color="auto"/>
            </w:tcBorders>
          </w:tcPr>
          <w:p w:rsidR="00A73167" w:rsidRDefault="00F524E7">
            <w:pPr>
              <w:rPr>
                <w:rFonts w:ascii="Times New Roman" w:hAnsi="Times New Roman" w:cs="Times New Roman"/>
                <w:sz w:val="24"/>
                <w:szCs w:val="24"/>
              </w:rPr>
            </w:pPr>
            <w:r>
              <w:rPr>
                <w:rFonts w:ascii="Times New Roman" w:hAnsi="Times New Roman" w:cs="Times New Roman"/>
                <w:sz w:val="24"/>
                <w:szCs w:val="24"/>
              </w:rPr>
              <w:t>Трудоспособное</w:t>
            </w:r>
          </w:p>
          <w:p w:rsidR="00A73167" w:rsidRDefault="00F524E7">
            <w:pPr>
              <w:rPr>
                <w:rFonts w:ascii="Times New Roman" w:hAnsi="Times New Roman" w:cs="Times New Roman"/>
                <w:sz w:val="24"/>
                <w:szCs w:val="24"/>
              </w:rPr>
            </w:pPr>
            <w:r>
              <w:rPr>
                <w:rFonts w:ascii="Times New Roman" w:hAnsi="Times New Roman" w:cs="Times New Roman"/>
                <w:sz w:val="24"/>
                <w:szCs w:val="24"/>
              </w:rPr>
              <w:t>население субъекта</w:t>
            </w:r>
          </w:p>
          <w:p w:rsidR="00A73167" w:rsidRDefault="00F524E7">
            <w:pPr>
              <w:rPr>
                <w:rFonts w:ascii="Times New Roman" w:hAnsi="Times New Roman" w:cs="Times New Roman"/>
                <w:sz w:val="24"/>
                <w:szCs w:val="24"/>
              </w:rPr>
            </w:pPr>
            <w:r>
              <w:rPr>
                <w:rFonts w:ascii="Times New Roman" w:hAnsi="Times New Roman" w:cs="Times New Roman"/>
                <w:sz w:val="24"/>
                <w:szCs w:val="24"/>
              </w:rPr>
              <w:t>Российской</w:t>
            </w:r>
          </w:p>
          <w:p w:rsidR="00A73167" w:rsidRDefault="00F524E7">
            <w:pPr>
              <w:rPr>
                <w:rFonts w:ascii="Times New Roman" w:hAnsi="Times New Roman" w:cs="Times New Roman"/>
                <w:sz w:val="24"/>
                <w:szCs w:val="24"/>
              </w:rPr>
            </w:pPr>
            <w:r>
              <w:rPr>
                <w:rFonts w:ascii="Times New Roman" w:hAnsi="Times New Roman" w:cs="Times New Roman"/>
                <w:sz w:val="24"/>
                <w:szCs w:val="24"/>
              </w:rPr>
              <w:t>Федерации (тыс. чел.)</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1084,320</w:t>
            </w:r>
          </w:p>
        </w:tc>
      </w:tr>
      <w:tr w:rsidR="00A73167" w:rsidTr="00416A3D">
        <w:tc>
          <w:tcPr>
            <w:tcW w:w="2361" w:type="dxa"/>
            <w:tcBorders>
              <w:right w:val="single" w:sz="4" w:space="0" w:color="auto"/>
            </w:tcBorders>
          </w:tcPr>
          <w:p w:rsidR="00A73167" w:rsidRDefault="00A73167">
            <w:pPr>
              <w:rPr>
                <w:rFonts w:ascii="Times New Roman" w:hAnsi="Times New Roman" w:cs="Times New Roman"/>
                <w:sz w:val="24"/>
                <w:szCs w:val="24"/>
              </w:rPr>
            </w:pPr>
          </w:p>
        </w:tc>
        <w:tc>
          <w:tcPr>
            <w:tcW w:w="2382" w:type="dxa"/>
            <w:gridSpan w:val="2"/>
            <w:tcBorders>
              <w:left w:val="single" w:sz="4" w:space="0" w:color="auto"/>
            </w:tcBorders>
          </w:tcPr>
          <w:p w:rsidR="00A73167" w:rsidRDefault="00F524E7">
            <w:pPr>
              <w:rPr>
                <w:rFonts w:ascii="Times New Roman" w:hAnsi="Times New Roman" w:cs="Times New Roman"/>
                <w:sz w:val="24"/>
                <w:szCs w:val="24"/>
              </w:rPr>
            </w:pPr>
            <w:r>
              <w:rPr>
                <w:rFonts w:ascii="Times New Roman" w:hAnsi="Times New Roman" w:cs="Times New Roman"/>
                <w:sz w:val="24"/>
                <w:szCs w:val="24"/>
              </w:rPr>
              <w:t>Население</w:t>
            </w:r>
          </w:p>
          <w:p w:rsidR="00A73167" w:rsidRDefault="00F524E7">
            <w:pPr>
              <w:rPr>
                <w:rFonts w:ascii="Times New Roman" w:hAnsi="Times New Roman" w:cs="Times New Roman"/>
                <w:sz w:val="24"/>
                <w:szCs w:val="24"/>
              </w:rPr>
            </w:pPr>
            <w:r>
              <w:rPr>
                <w:rFonts w:ascii="Times New Roman" w:hAnsi="Times New Roman" w:cs="Times New Roman"/>
                <w:sz w:val="24"/>
                <w:szCs w:val="24"/>
              </w:rPr>
              <w:t>Агломерации в</w:t>
            </w:r>
          </w:p>
          <w:p w:rsidR="00A73167" w:rsidRDefault="00F524E7">
            <w:pPr>
              <w:rPr>
                <w:rFonts w:ascii="Times New Roman" w:hAnsi="Times New Roman" w:cs="Times New Roman"/>
                <w:sz w:val="24"/>
                <w:szCs w:val="24"/>
              </w:rPr>
            </w:pPr>
            <w:r>
              <w:rPr>
                <w:rFonts w:ascii="Times New Roman" w:hAnsi="Times New Roman" w:cs="Times New Roman"/>
                <w:sz w:val="24"/>
                <w:szCs w:val="24"/>
              </w:rPr>
              <w:t>непосредственной</w:t>
            </w:r>
          </w:p>
          <w:p w:rsidR="00A73167" w:rsidRDefault="00F524E7">
            <w:pPr>
              <w:rPr>
                <w:rFonts w:ascii="Times New Roman" w:hAnsi="Times New Roman" w:cs="Times New Roman"/>
                <w:sz w:val="24"/>
                <w:szCs w:val="24"/>
              </w:rPr>
            </w:pPr>
            <w:r>
              <w:rPr>
                <w:rFonts w:ascii="Times New Roman" w:hAnsi="Times New Roman" w:cs="Times New Roman"/>
                <w:sz w:val="24"/>
                <w:szCs w:val="24"/>
              </w:rPr>
              <w:t>локации (тыс. чел.)</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 xml:space="preserve">Население г. Сургута – 387,2 </w:t>
            </w:r>
          </w:p>
        </w:tc>
      </w:tr>
      <w:tr w:rsidR="00A73167" w:rsidTr="00416A3D">
        <w:tc>
          <w:tcPr>
            <w:tcW w:w="2361" w:type="dxa"/>
            <w:tcBorders>
              <w:right w:val="single" w:sz="4" w:space="0" w:color="auto"/>
            </w:tcBorders>
          </w:tcPr>
          <w:p w:rsidR="00A73167" w:rsidRDefault="00A73167">
            <w:pPr>
              <w:rPr>
                <w:rFonts w:ascii="Times New Roman" w:hAnsi="Times New Roman" w:cs="Times New Roman"/>
                <w:sz w:val="24"/>
                <w:szCs w:val="24"/>
              </w:rPr>
            </w:pPr>
          </w:p>
        </w:tc>
        <w:tc>
          <w:tcPr>
            <w:tcW w:w="2382" w:type="dxa"/>
            <w:gridSpan w:val="2"/>
            <w:tcBorders>
              <w:left w:val="single" w:sz="4" w:space="0" w:color="auto"/>
            </w:tcBorders>
          </w:tcPr>
          <w:p w:rsidR="00A73167" w:rsidRDefault="00F524E7">
            <w:pPr>
              <w:rPr>
                <w:rFonts w:ascii="Times New Roman" w:hAnsi="Times New Roman" w:cs="Times New Roman"/>
                <w:sz w:val="24"/>
                <w:szCs w:val="24"/>
              </w:rPr>
            </w:pPr>
            <w:r>
              <w:rPr>
                <w:rFonts w:ascii="Times New Roman" w:hAnsi="Times New Roman" w:cs="Times New Roman"/>
                <w:sz w:val="24"/>
                <w:szCs w:val="24"/>
              </w:rPr>
              <w:t>Средняя заработная</w:t>
            </w:r>
          </w:p>
          <w:p w:rsidR="00A73167" w:rsidRDefault="00F524E7">
            <w:pPr>
              <w:rPr>
                <w:rFonts w:ascii="Times New Roman" w:hAnsi="Times New Roman" w:cs="Times New Roman"/>
                <w:sz w:val="24"/>
                <w:szCs w:val="24"/>
              </w:rPr>
            </w:pPr>
            <w:r>
              <w:rPr>
                <w:rFonts w:ascii="Times New Roman" w:hAnsi="Times New Roman" w:cs="Times New Roman"/>
                <w:sz w:val="24"/>
                <w:szCs w:val="24"/>
              </w:rPr>
              <w:t>плата в субъекте</w:t>
            </w:r>
          </w:p>
          <w:p w:rsidR="00A73167" w:rsidRDefault="00F524E7">
            <w:pPr>
              <w:rPr>
                <w:rFonts w:ascii="Times New Roman" w:hAnsi="Times New Roman" w:cs="Times New Roman"/>
                <w:sz w:val="24"/>
                <w:szCs w:val="24"/>
              </w:rPr>
            </w:pPr>
            <w:r>
              <w:rPr>
                <w:rFonts w:ascii="Times New Roman" w:hAnsi="Times New Roman" w:cs="Times New Roman"/>
                <w:sz w:val="24"/>
                <w:szCs w:val="24"/>
              </w:rPr>
              <w:t>Российской</w:t>
            </w:r>
          </w:p>
          <w:p w:rsidR="00A73167" w:rsidRDefault="00F524E7">
            <w:pPr>
              <w:rPr>
                <w:rFonts w:ascii="Times New Roman" w:hAnsi="Times New Roman" w:cs="Times New Roman"/>
                <w:sz w:val="24"/>
                <w:szCs w:val="24"/>
              </w:rPr>
            </w:pPr>
            <w:r>
              <w:rPr>
                <w:rFonts w:ascii="Times New Roman" w:hAnsi="Times New Roman" w:cs="Times New Roman"/>
                <w:sz w:val="24"/>
                <w:szCs w:val="24"/>
              </w:rPr>
              <w:t>Федерации (тыс. руб.)</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124,744</w:t>
            </w:r>
          </w:p>
        </w:tc>
      </w:tr>
      <w:tr w:rsidR="00A73167" w:rsidTr="00416A3D">
        <w:tc>
          <w:tcPr>
            <w:tcW w:w="2361" w:type="dxa"/>
            <w:tcBorders>
              <w:right w:val="single" w:sz="4" w:space="0" w:color="auto"/>
            </w:tcBorders>
          </w:tcPr>
          <w:p w:rsidR="00A73167" w:rsidRDefault="00A73167">
            <w:pPr>
              <w:rPr>
                <w:rFonts w:ascii="Times New Roman" w:hAnsi="Times New Roman" w:cs="Times New Roman"/>
                <w:sz w:val="24"/>
                <w:szCs w:val="24"/>
              </w:rPr>
            </w:pPr>
          </w:p>
        </w:tc>
        <w:tc>
          <w:tcPr>
            <w:tcW w:w="2382" w:type="dxa"/>
            <w:gridSpan w:val="2"/>
            <w:tcBorders>
              <w:left w:val="single" w:sz="4" w:space="0" w:color="auto"/>
            </w:tcBorders>
          </w:tcPr>
          <w:p w:rsidR="00A73167" w:rsidRDefault="00F524E7">
            <w:pPr>
              <w:rPr>
                <w:rFonts w:ascii="Times New Roman" w:hAnsi="Times New Roman" w:cs="Times New Roman"/>
                <w:sz w:val="24"/>
                <w:szCs w:val="24"/>
              </w:rPr>
            </w:pPr>
            <w:r>
              <w:rPr>
                <w:rFonts w:ascii="Times New Roman" w:hAnsi="Times New Roman" w:cs="Times New Roman"/>
                <w:sz w:val="24"/>
                <w:szCs w:val="24"/>
              </w:rPr>
              <w:t>Наличие профильных</w:t>
            </w:r>
          </w:p>
          <w:p w:rsidR="00A73167" w:rsidRDefault="00F524E7">
            <w:pPr>
              <w:rPr>
                <w:rFonts w:ascii="Times New Roman" w:hAnsi="Times New Roman" w:cs="Times New Roman"/>
                <w:sz w:val="24"/>
                <w:szCs w:val="24"/>
              </w:rPr>
            </w:pPr>
            <w:r>
              <w:rPr>
                <w:rFonts w:ascii="Times New Roman" w:hAnsi="Times New Roman" w:cs="Times New Roman"/>
                <w:sz w:val="24"/>
                <w:szCs w:val="24"/>
              </w:rPr>
              <w:t>образовательных</w:t>
            </w:r>
          </w:p>
          <w:p w:rsidR="00A73167" w:rsidRDefault="00F524E7">
            <w:pPr>
              <w:rPr>
                <w:rFonts w:ascii="Times New Roman" w:hAnsi="Times New Roman" w:cs="Times New Roman"/>
                <w:sz w:val="24"/>
                <w:szCs w:val="24"/>
              </w:rPr>
            </w:pPr>
            <w:r>
              <w:rPr>
                <w:rFonts w:ascii="Times New Roman" w:hAnsi="Times New Roman" w:cs="Times New Roman"/>
                <w:sz w:val="24"/>
                <w:szCs w:val="24"/>
              </w:rPr>
              <w:t>учреждений</w:t>
            </w:r>
          </w:p>
          <w:p w:rsidR="00A73167" w:rsidRDefault="00F524E7">
            <w:pPr>
              <w:rPr>
                <w:rFonts w:ascii="Times New Roman" w:hAnsi="Times New Roman" w:cs="Times New Roman"/>
                <w:sz w:val="24"/>
                <w:szCs w:val="24"/>
              </w:rPr>
            </w:pPr>
            <w:r>
              <w:rPr>
                <w:rFonts w:ascii="Times New Roman" w:hAnsi="Times New Roman" w:cs="Times New Roman"/>
                <w:sz w:val="24"/>
                <w:szCs w:val="24"/>
              </w:rPr>
              <w:t>в регионе (высшего</w:t>
            </w:r>
          </w:p>
          <w:p w:rsidR="00A73167" w:rsidRDefault="00F524E7">
            <w:pPr>
              <w:rPr>
                <w:rFonts w:ascii="Times New Roman" w:hAnsi="Times New Roman" w:cs="Times New Roman"/>
                <w:sz w:val="24"/>
                <w:szCs w:val="24"/>
              </w:rPr>
            </w:pPr>
            <w:r>
              <w:rPr>
                <w:rFonts w:ascii="Times New Roman" w:hAnsi="Times New Roman" w:cs="Times New Roman"/>
                <w:sz w:val="24"/>
                <w:szCs w:val="24"/>
              </w:rPr>
              <w:t>образования</w:t>
            </w:r>
          </w:p>
          <w:p w:rsidR="00A73167" w:rsidRDefault="00F524E7">
            <w:pPr>
              <w:rPr>
                <w:rFonts w:ascii="Times New Roman" w:hAnsi="Times New Roman" w:cs="Times New Roman"/>
                <w:sz w:val="24"/>
                <w:szCs w:val="24"/>
              </w:rPr>
            </w:pPr>
            <w:r>
              <w:rPr>
                <w:rFonts w:ascii="Times New Roman" w:hAnsi="Times New Roman" w:cs="Times New Roman"/>
                <w:sz w:val="24"/>
                <w:szCs w:val="24"/>
              </w:rPr>
              <w:t>и среднего</w:t>
            </w:r>
          </w:p>
          <w:p w:rsidR="00A73167" w:rsidRDefault="00F524E7">
            <w:pPr>
              <w:rPr>
                <w:rFonts w:ascii="Times New Roman" w:hAnsi="Times New Roman" w:cs="Times New Roman"/>
                <w:sz w:val="24"/>
                <w:szCs w:val="24"/>
              </w:rPr>
            </w:pPr>
            <w:r>
              <w:rPr>
                <w:rFonts w:ascii="Times New Roman" w:hAnsi="Times New Roman" w:cs="Times New Roman"/>
                <w:sz w:val="24"/>
                <w:szCs w:val="24"/>
              </w:rPr>
              <w:t>специального</w:t>
            </w:r>
          </w:p>
          <w:p w:rsidR="00A73167" w:rsidRDefault="00F524E7">
            <w:pPr>
              <w:rPr>
                <w:rFonts w:ascii="Times New Roman" w:hAnsi="Times New Roman" w:cs="Times New Roman"/>
                <w:sz w:val="24"/>
                <w:szCs w:val="24"/>
              </w:rPr>
            </w:pPr>
            <w:r>
              <w:rPr>
                <w:rFonts w:ascii="Times New Roman" w:hAnsi="Times New Roman" w:cs="Times New Roman"/>
                <w:sz w:val="24"/>
                <w:szCs w:val="24"/>
              </w:rPr>
              <w:t>образования)</w:t>
            </w:r>
          </w:p>
        </w:tc>
        <w:tc>
          <w:tcPr>
            <w:tcW w:w="6025" w:type="dxa"/>
            <w:gridSpan w:val="2"/>
          </w:tcPr>
          <w:p w:rsidR="00A73167" w:rsidRDefault="00F524E7">
            <w:pPr>
              <w:jc w:val="both"/>
              <w:rPr>
                <w:rFonts w:ascii="Times New Roman" w:hAnsi="Times New Roman" w:cs="Times New Roman"/>
                <w:sz w:val="24"/>
                <w:szCs w:val="24"/>
              </w:rPr>
            </w:pPr>
            <w:r>
              <w:rPr>
                <w:rFonts w:ascii="Times New Roman" w:hAnsi="Times New Roman" w:cs="Times New Roman"/>
                <w:sz w:val="24"/>
                <w:szCs w:val="24"/>
              </w:rPr>
              <w:t>31 образовательное учреждение среднего и высшего образования, из которых 5 – учреждения высшего образования (вузы).</w:t>
            </w:r>
          </w:p>
          <w:p w:rsidR="00A73167" w:rsidRDefault="00A73167">
            <w:pPr>
              <w:rPr>
                <w:rFonts w:ascii="Times New Roman" w:hAnsi="Times New Roman" w:cs="Times New Roman"/>
                <w:sz w:val="24"/>
                <w:szCs w:val="24"/>
              </w:rPr>
            </w:pPr>
          </w:p>
          <w:p w:rsidR="00A73167" w:rsidRDefault="00F524E7">
            <w:pPr>
              <w:jc w:val="both"/>
              <w:rPr>
                <w:rFonts w:ascii="Times New Roman" w:hAnsi="Times New Roman" w:cs="Times New Roman"/>
                <w:sz w:val="24"/>
                <w:szCs w:val="24"/>
              </w:rPr>
            </w:pPr>
            <w:r>
              <w:rPr>
                <w:rFonts w:ascii="Times New Roman" w:hAnsi="Times New Roman" w:cs="Times New Roman"/>
                <w:sz w:val="24"/>
                <w:szCs w:val="24"/>
              </w:rPr>
              <w:t>На территории ИНТЦ «ЮНИТИ ПАРК» создается инновационный университет, школы</w:t>
            </w:r>
          </w:p>
        </w:tc>
      </w:tr>
      <w:tr w:rsidR="00A73167" w:rsidTr="00416A3D">
        <w:tc>
          <w:tcPr>
            <w:tcW w:w="10768" w:type="dxa"/>
            <w:gridSpan w:val="5"/>
          </w:tcPr>
          <w:p w:rsidR="00A73167" w:rsidRDefault="00F524E7">
            <w:pPr>
              <w:jc w:val="center"/>
              <w:rPr>
                <w:rFonts w:ascii="Times New Roman" w:hAnsi="Times New Roman" w:cs="Times New Roman"/>
                <w:sz w:val="24"/>
                <w:szCs w:val="24"/>
              </w:rPr>
            </w:pPr>
            <w:r>
              <w:rPr>
                <w:rFonts w:ascii="Times New Roman" w:hAnsi="Times New Roman" w:cs="Times New Roman"/>
                <w:sz w:val="24"/>
                <w:szCs w:val="24"/>
              </w:rPr>
              <w:t>Прогнозируемые финансово-экономические показатели инвестиционного проекта</w:t>
            </w:r>
          </w:p>
          <w:p w:rsidR="00A73167" w:rsidRDefault="00F524E7">
            <w:pPr>
              <w:rPr>
                <w:rFonts w:ascii="Times New Roman" w:hAnsi="Times New Roman" w:cs="Times New Roman"/>
                <w:sz w:val="24"/>
                <w:szCs w:val="24"/>
              </w:rPr>
            </w:pPr>
            <w:r>
              <w:rPr>
                <w:rFonts w:ascii="Times New Roman" w:hAnsi="Times New Roman" w:cs="Times New Roman"/>
                <w:sz w:val="24"/>
                <w:szCs w:val="24"/>
              </w:rPr>
              <w:t>(опционально)</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Предполагаемая общая стоимость</w:t>
            </w:r>
          </w:p>
          <w:p w:rsidR="00A73167" w:rsidRDefault="00F524E7">
            <w:pPr>
              <w:rPr>
                <w:rFonts w:ascii="Times New Roman" w:hAnsi="Times New Roman" w:cs="Times New Roman"/>
                <w:sz w:val="24"/>
                <w:szCs w:val="24"/>
              </w:rPr>
            </w:pPr>
            <w:r>
              <w:rPr>
                <w:rFonts w:ascii="Times New Roman" w:hAnsi="Times New Roman" w:cs="Times New Roman"/>
                <w:sz w:val="24"/>
                <w:szCs w:val="24"/>
              </w:rPr>
              <w:t>инвестиционного проекта (млн. руб.)</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1 800 (включая ПИР и СМР)</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Структура инвестиций (в процентах, %)</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100% частные инвестиции</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Простой и дисконтированный срок</w:t>
            </w:r>
          </w:p>
          <w:p w:rsidR="00A73167" w:rsidRDefault="00F524E7">
            <w:pPr>
              <w:rPr>
                <w:rFonts w:ascii="Times New Roman" w:hAnsi="Times New Roman" w:cs="Times New Roman"/>
                <w:sz w:val="24"/>
                <w:szCs w:val="24"/>
              </w:rPr>
            </w:pPr>
            <w:r>
              <w:rPr>
                <w:rFonts w:ascii="Times New Roman" w:hAnsi="Times New Roman" w:cs="Times New Roman"/>
                <w:sz w:val="24"/>
                <w:szCs w:val="24"/>
              </w:rPr>
              <w:t>окупаемости (лет/мес.)</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10 лет (простой срок окупаемости)</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EBITDA (млн. руб.)</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bCs/>
                <w:sz w:val="24"/>
                <w:szCs w:val="24"/>
              </w:rPr>
              <w:t>-</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Рентабельность по EBITDA (в %)</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bCs/>
                <w:sz w:val="24"/>
                <w:szCs w:val="24"/>
              </w:rPr>
              <w:t>-</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Чистая приведенная стоимость (NPV,</w:t>
            </w:r>
          </w:p>
          <w:p w:rsidR="00A73167" w:rsidRDefault="00F524E7">
            <w:pPr>
              <w:rPr>
                <w:rFonts w:ascii="Times New Roman" w:hAnsi="Times New Roman" w:cs="Times New Roman"/>
                <w:sz w:val="24"/>
                <w:szCs w:val="24"/>
              </w:rPr>
            </w:pPr>
            <w:r>
              <w:rPr>
                <w:rFonts w:ascii="Times New Roman" w:hAnsi="Times New Roman" w:cs="Times New Roman"/>
                <w:sz w:val="24"/>
                <w:szCs w:val="24"/>
              </w:rPr>
              <w:t>млн. руб.)</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Внутренняя норма доходности (IRR,</w:t>
            </w:r>
          </w:p>
          <w:p w:rsidR="00A73167" w:rsidRDefault="00F524E7">
            <w:pPr>
              <w:rPr>
                <w:rFonts w:ascii="Times New Roman" w:hAnsi="Times New Roman" w:cs="Times New Roman"/>
                <w:sz w:val="24"/>
                <w:szCs w:val="24"/>
              </w:rPr>
            </w:pPr>
            <w:r>
              <w:rPr>
                <w:rFonts w:ascii="Times New Roman" w:hAnsi="Times New Roman" w:cs="Times New Roman"/>
                <w:sz w:val="24"/>
                <w:szCs w:val="24"/>
              </w:rPr>
              <w:t>в %)</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sz w:val="24"/>
                <w:szCs w:val="24"/>
              </w:rPr>
              <w:t>-</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Ставка дисконтирования (в %)</w:t>
            </w:r>
          </w:p>
        </w:tc>
        <w:tc>
          <w:tcPr>
            <w:tcW w:w="6025" w:type="dxa"/>
            <w:gridSpan w:val="2"/>
          </w:tcPr>
          <w:p w:rsidR="00A73167" w:rsidRDefault="00F524E7">
            <w:pPr>
              <w:rPr>
                <w:rFonts w:ascii="Times New Roman" w:hAnsi="Times New Roman" w:cs="Times New Roman"/>
                <w:sz w:val="24"/>
                <w:szCs w:val="24"/>
              </w:rPr>
            </w:pPr>
            <w:r>
              <w:rPr>
                <w:rFonts w:ascii="Times New Roman" w:hAnsi="Times New Roman" w:cs="Times New Roman"/>
                <w:bCs/>
                <w:sz w:val="24"/>
                <w:szCs w:val="24"/>
              </w:rPr>
              <w:t>-</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Иные показатели</w:t>
            </w:r>
          </w:p>
        </w:tc>
        <w:tc>
          <w:tcPr>
            <w:tcW w:w="6025" w:type="dxa"/>
            <w:gridSpan w:val="2"/>
          </w:tcPr>
          <w:p w:rsidR="00A73167" w:rsidRDefault="00F524E7">
            <w:pPr>
              <w:jc w:val="both"/>
              <w:rPr>
                <w:rFonts w:ascii="Times New Roman" w:hAnsi="Times New Roman" w:cs="Times New Roman"/>
                <w:sz w:val="24"/>
                <w:szCs w:val="24"/>
              </w:rPr>
            </w:pPr>
            <w:r>
              <w:rPr>
                <w:rFonts w:ascii="Times New Roman" w:hAnsi="Times New Roman" w:cs="Times New Roman"/>
                <w:bCs/>
                <w:sz w:val="24"/>
                <w:szCs w:val="24"/>
              </w:rPr>
              <w:t xml:space="preserve">Расчетная выручка при горизонте планирования 20 лет (с учетом инвестиционной стадии) составляет 12 млрд руб. </w:t>
            </w:r>
          </w:p>
        </w:tc>
      </w:tr>
      <w:tr w:rsidR="00A73167" w:rsidTr="00416A3D">
        <w:tc>
          <w:tcPr>
            <w:tcW w:w="4743" w:type="dxa"/>
            <w:gridSpan w:val="3"/>
          </w:tcPr>
          <w:p w:rsidR="00A73167" w:rsidRDefault="00F524E7">
            <w:pPr>
              <w:rPr>
                <w:rFonts w:ascii="Times New Roman" w:hAnsi="Times New Roman" w:cs="Times New Roman"/>
                <w:sz w:val="24"/>
                <w:szCs w:val="24"/>
              </w:rPr>
            </w:pPr>
            <w:r>
              <w:rPr>
                <w:rFonts w:ascii="Times New Roman" w:hAnsi="Times New Roman" w:cs="Times New Roman"/>
                <w:sz w:val="24"/>
                <w:szCs w:val="24"/>
              </w:rPr>
              <w:t>Приложение (при наличии)</w:t>
            </w:r>
          </w:p>
        </w:tc>
        <w:tc>
          <w:tcPr>
            <w:tcW w:w="6025" w:type="dxa"/>
            <w:gridSpan w:val="2"/>
          </w:tcPr>
          <w:p w:rsidR="00A73167" w:rsidRDefault="00F524E7">
            <w:pPr>
              <w:jc w:val="both"/>
              <w:rPr>
                <w:rFonts w:ascii="Times New Roman" w:hAnsi="Times New Roman" w:cs="Times New Roman"/>
                <w:sz w:val="24"/>
                <w:szCs w:val="24"/>
              </w:rPr>
            </w:pPr>
            <w:r>
              <w:rPr>
                <w:rFonts w:ascii="Times New Roman" w:hAnsi="Times New Roman" w:cs="Times New Roman"/>
                <w:sz w:val="24"/>
                <w:szCs w:val="24"/>
              </w:rPr>
              <w:t>-</w:t>
            </w:r>
          </w:p>
        </w:tc>
      </w:tr>
      <w:bookmarkEnd w:id="0"/>
    </w:tbl>
    <w:p w:rsidR="00A73167" w:rsidRDefault="00A73167">
      <w:pPr>
        <w:spacing w:after="0" w:line="240" w:lineRule="auto"/>
        <w:rPr>
          <w:rFonts w:ascii="Times New Roman" w:hAnsi="Times New Roman" w:cs="Times New Roman"/>
          <w:b/>
          <w:bCs/>
          <w:sz w:val="24"/>
          <w:szCs w:val="24"/>
        </w:rPr>
      </w:pPr>
    </w:p>
    <w:p w:rsidR="00A73167" w:rsidRDefault="00A73167">
      <w:pPr>
        <w:spacing w:after="0" w:line="240" w:lineRule="auto"/>
        <w:rPr>
          <w:rFonts w:ascii="Times New Roman" w:eastAsia="Times New Roman" w:hAnsi="Times New Roman" w:cs="Times New Roman"/>
          <w:sz w:val="24"/>
          <w:szCs w:val="24"/>
          <w:lang w:eastAsia="ru-RU"/>
        </w:rPr>
      </w:pPr>
    </w:p>
    <w:p w:rsidR="00A73167" w:rsidRDefault="00A73167">
      <w:pPr>
        <w:spacing w:after="0" w:line="240" w:lineRule="auto"/>
        <w:rPr>
          <w:rFonts w:ascii="Times New Roman" w:eastAsia="Times New Roman" w:hAnsi="Times New Roman" w:cs="Times New Roman"/>
          <w:sz w:val="24"/>
          <w:szCs w:val="24"/>
          <w:lang w:eastAsia="ru-RU"/>
        </w:rPr>
      </w:pPr>
    </w:p>
    <w:sectPr w:rsidR="00A73167" w:rsidSect="00416A3D">
      <w:headerReference w:type="default" r:id="rId8"/>
      <w:footerReference w:type="default" r:id="rId9"/>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167" w:rsidRDefault="00F524E7">
      <w:pPr>
        <w:spacing w:after="0" w:line="240" w:lineRule="auto"/>
      </w:pPr>
      <w:r>
        <w:separator/>
      </w:r>
    </w:p>
  </w:endnote>
  <w:endnote w:type="continuationSeparator" w:id="0">
    <w:p w:rsidR="00A73167" w:rsidRDefault="00F52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73917073"/>
      <w:showingPlcHdr/>
      <w:docPartObj>
        <w:docPartGallery w:val="Page Numbers (Bottom of Page)"/>
        <w:docPartUnique/>
      </w:docPartObj>
    </w:sdtPr>
    <w:sdtEndPr/>
    <w:sdtContent>
      <w:p w:rsidR="00A73167" w:rsidRDefault="00F524E7">
        <w:pPr>
          <w:rPr>
            <w:rFonts w:ascii="Times New Roman" w:hAnsi="Times New Roman" w:cs="Times New Roman"/>
            <w:sz w:val="24"/>
            <w:szCs w:val="24"/>
          </w:rPr>
        </w:pPr>
        <w:r>
          <w:t>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167" w:rsidRDefault="00F524E7">
      <w:pPr>
        <w:spacing w:after="0" w:line="240" w:lineRule="auto"/>
      </w:pPr>
      <w:r>
        <w:separator/>
      </w:r>
    </w:p>
  </w:footnote>
  <w:footnote w:type="continuationSeparator" w:id="0">
    <w:p w:rsidR="00A73167" w:rsidRDefault="00F52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167" w:rsidRDefault="00F524E7">
    <w:pPr>
      <w:pStyle w:val="af5"/>
      <w:jc w:val="center"/>
    </w:pPr>
    <w:r>
      <w:fldChar w:fldCharType="begin"/>
    </w:r>
    <w:r>
      <w:instrText>PAGE \* MERGEFORMAT</w:instrText>
    </w:r>
    <w:r>
      <w:fldChar w:fldCharType="separate"/>
    </w:r>
    <w:r w:rsidR="00416A3D">
      <w:rPr>
        <w:noProof/>
      </w:rPr>
      <w:t>7</w:t>
    </w:r>
    <w:r>
      <w:fldChar w:fldCharType="end"/>
    </w:r>
  </w:p>
  <w:p w:rsidR="00A73167" w:rsidRDefault="00A73167">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83C97"/>
    <w:multiLevelType w:val="hybridMultilevel"/>
    <w:tmpl w:val="5AA4A9F2"/>
    <w:lvl w:ilvl="0" w:tplc="2AE2648A">
      <w:start w:val="1"/>
      <w:numFmt w:val="bullet"/>
      <w:lvlText w:val=""/>
      <w:lvlJc w:val="left"/>
      <w:pPr>
        <w:ind w:left="720" w:hanging="360"/>
      </w:pPr>
      <w:rPr>
        <w:rFonts w:ascii="Symbol" w:hAnsi="Symbol" w:hint="default"/>
      </w:rPr>
    </w:lvl>
    <w:lvl w:ilvl="1" w:tplc="7D42E1B6">
      <w:start w:val="1"/>
      <w:numFmt w:val="bullet"/>
      <w:lvlText w:val="o"/>
      <w:lvlJc w:val="left"/>
      <w:pPr>
        <w:ind w:left="1440" w:hanging="360"/>
      </w:pPr>
      <w:rPr>
        <w:rFonts w:ascii="Courier New" w:hAnsi="Courier New" w:cs="Courier New" w:hint="default"/>
      </w:rPr>
    </w:lvl>
    <w:lvl w:ilvl="2" w:tplc="C47A2F00">
      <w:start w:val="1"/>
      <w:numFmt w:val="bullet"/>
      <w:lvlText w:val=""/>
      <w:lvlJc w:val="left"/>
      <w:pPr>
        <w:ind w:left="2160" w:hanging="360"/>
      </w:pPr>
      <w:rPr>
        <w:rFonts w:ascii="Wingdings" w:hAnsi="Wingdings" w:hint="default"/>
      </w:rPr>
    </w:lvl>
    <w:lvl w:ilvl="3" w:tplc="57FE459A">
      <w:start w:val="1"/>
      <w:numFmt w:val="bullet"/>
      <w:lvlText w:val=""/>
      <w:lvlJc w:val="left"/>
      <w:pPr>
        <w:ind w:left="2880" w:hanging="360"/>
      </w:pPr>
      <w:rPr>
        <w:rFonts w:ascii="Symbol" w:hAnsi="Symbol" w:hint="default"/>
      </w:rPr>
    </w:lvl>
    <w:lvl w:ilvl="4" w:tplc="A6B0601C">
      <w:start w:val="1"/>
      <w:numFmt w:val="bullet"/>
      <w:lvlText w:val="o"/>
      <w:lvlJc w:val="left"/>
      <w:pPr>
        <w:ind w:left="3600" w:hanging="360"/>
      </w:pPr>
      <w:rPr>
        <w:rFonts w:ascii="Courier New" w:hAnsi="Courier New" w:cs="Courier New" w:hint="default"/>
      </w:rPr>
    </w:lvl>
    <w:lvl w:ilvl="5" w:tplc="8A427D0A">
      <w:start w:val="1"/>
      <w:numFmt w:val="bullet"/>
      <w:lvlText w:val=""/>
      <w:lvlJc w:val="left"/>
      <w:pPr>
        <w:ind w:left="4320" w:hanging="360"/>
      </w:pPr>
      <w:rPr>
        <w:rFonts w:ascii="Wingdings" w:hAnsi="Wingdings" w:hint="default"/>
      </w:rPr>
    </w:lvl>
    <w:lvl w:ilvl="6" w:tplc="802A3C6E">
      <w:start w:val="1"/>
      <w:numFmt w:val="bullet"/>
      <w:lvlText w:val=""/>
      <w:lvlJc w:val="left"/>
      <w:pPr>
        <w:ind w:left="5040" w:hanging="360"/>
      </w:pPr>
      <w:rPr>
        <w:rFonts w:ascii="Symbol" w:hAnsi="Symbol" w:hint="default"/>
      </w:rPr>
    </w:lvl>
    <w:lvl w:ilvl="7" w:tplc="CC6A9C26">
      <w:start w:val="1"/>
      <w:numFmt w:val="bullet"/>
      <w:lvlText w:val="o"/>
      <w:lvlJc w:val="left"/>
      <w:pPr>
        <w:ind w:left="5760" w:hanging="360"/>
      </w:pPr>
      <w:rPr>
        <w:rFonts w:ascii="Courier New" w:hAnsi="Courier New" w:cs="Courier New" w:hint="default"/>
      </w:rPr>
    </w:lvl>
    <w:lvl w:ilvl="8" w:tplc="C5E45B38">
      <w:start w:val="1"/>
      <w:numFmt w:val="bullet"/>
      <w:lvlText w:val=""/>
      <w:lvlJc w:val="left"/>
      <w:pPr>
        <w:ind w:left="6480" w:hanging="360"/>
      </w:pPr>
      <w:rPr>
        <w:rFonts w:ascii="Wingdings" w:hAnsi="Wingdings" w:hint="default"/>
      </w:rPr>
    </w:lvl>
  </w:abstractNum>
  <w:abstractNum w:abstractNumId="1" w15:restartNumberingAfterBreak="0">
    <w:nsid w:val="30143D7E"/>
    <w:multiLevelType w:val="hybridMultilevel"/>
    <w:tmpl w:val="AC7CAA7A"/>
    <w:lvl w:ilvl="0" w:tplc="86BAF1D6">
      <w:start w:val="1"/>
      <w:numFmt w:val="bullet"/>
      <w:lvlText w:val=""/>
      <w:lvlJc w:val="left"/>
      <w:pPr>
        <w:ind w:left="720" w:hanging="360"/>
      </w:pPr>
      <w:rPr>
        <w:rFonts w:ascii="Symbol" w:hAnsi="Symbol" w:hint="default"/>
      </w:rPr>
    </w:lvl>
    <w:lvl w:ilvl="1" w:tplc="3BD4B7F6">
      <w:start w:val="1"/>
      <w:numFmt w:val="bullet"/>
      <w:lvlText w:val="o"/>
      <w:lvlJc w:val="left"/>
      <w:pPr>
        <w:ind w:left="1440" w:hanging="360"/>
      </w:pPr>
      <w:rPr>
        <w:rFonts w:ascii="Courier New" w:hAnsi="Courier New" w:cs="Courier New" w:hint="default"/>
      </w:rPr>
    </w:lvl>
    <w:lvl w:ilvl="2" w:tplc="04BE40A6">
      <w:start w:val="1"/>
      <w:numFmt w:val="bullet"/>
      <w:lvlText w:val=""/>
      <w:lvlJc w:val="left"/>
      <w:pPr>
        <w:ind w:left="2160" w:hanging="360"/>
      </w:pPr>
      <w:rPr>
        <w:rFonts w:ascii="Wingdings" w:hAnsi="Wingdings" w:hint="default"/>
      </w:rPr>
    </w:lvl>
    <w:lvl w:ilvl="3" w:tplc="A1A0176E">
      <w:start w:val="1"/>
      <w:numFmt w:val="bullet"/>
      <w:lvlText w:val=""/>
      <w:lvlJc w:val="left"/>
      <w:pPr>
        <w:ind w:left="2880" w:hanging="360"/>
      </w:pPr>
      <w:rPr>
        <w:rFonts w:ascii="Symbol" w:hAnsi="Symbol" w:hint="default"/>
      </w:rPr>
    </w:lvl>
    <w:lvl w:ilvl="4" w:tplc="5E0C7414">
      <w:start w:val="1"/>
      <w:numFmt w:val="bullet"/>
      <w:lvlText w:val="o"/>
      <w:lvlJc w:val="left"/>
      <w:pPr>
        <w:ind w:left="3600" w:hanging="360"/>
      </w:pPr>
      <w:rPr>
        <w:rFonts w:ascii="Courier New" w:hAnsi="Courier New" w:cs="Courier New" w:hint="default"/>
      </w:rPr>
    </w:lvl>
    <w:lvl w:ilvl="5" w:tplc="9276657A">
      <w:start w:val="1"/>
      <w:numFmt w:val="bullet"/>
      <w:lvlText w:val=""/>
      <w:lvlJc w:val="left"/>
      <w:pPr>
        <w:ind w:left="4320" w:hanging="360"/>
      </w:pPr>
      <w:rPr>
        <w:rFonts w:ascii="Wingdings" w:hAnsi="Wingdings" w:hint="default"/>
      </w:rPr>
    </w:lvl>
    <w:lvl w:ilvl="6" w:tplc="5F3AA6BC">
      <w:start w:val="1"/>
      <w:numFmt w:val="bullet"/>
      <w:lvlText w:val=""/>
      <w:lvlJc w:val="left"/>
      <w:pPr>
        <w:ind w:left="5040" w:hanging="360"/>
      </w:pPr>
      <w:rPr>
        <w:rFonts w:ascii="Symbol" w:hAnsi="Symbol" w:hint="default"/>
      </w:rPr>
    </w:lvl>
    <w:lvl w:ilvl="7" w:tplc="F44A7AAC">
      <w:start w:val="1"/>
      <w:numFmt w:val="bullet"/>
      <w:lvlText w:val="o"/>
      <w:lvlJc w:val="left"/>
      <w:pPr>
        <w:ind w:left="5760" w:hanging="360"/>
      </w:pPr>
      <w:rPr>
        <w:rFonts w:ascii="Courier New" w:hAnsi="Courier New" w:cs="Courier New" w:hint="default"/>
      </w:rPr>
    </w:lvl>
    <w:lvl w:ilvl="8" w:tplc="B762E242">
      <w:start w:val="1"/>
      <w:numFmt w:val="bullet"/>
      <w:lvlText w:val=""/>
      <w:lvlJc w:val="left"/>
      <w:pPr>
        <w:ind w:left="6480" w:hanging="360"/>
      </w:pPr>
      <w:rPr>
        <w:rFonts w:ascii="Wingdings" w:hAnsi="Wingdings" w:hint="default"/>
      </w:rPr>
    </w:lvl>
  </w:abstractNum>
  <w:abstractNum w:abstractNumId="2" w15:restartNumberingAfterBreak="0">
    <w:nsid w:val="402B6137"/>
    <w:multiLevelType w:val="hybridMultilevel"/>
    <w:tmpl w:val="AE1052B8"/>
    <w:lvl w:ilvl="0" w:tplc="CEA41572">
      <w:start w:val="1"/>
      <w:numFmt w:val="decimal"/>
      <w:lvlText w:val="%1."/>
      <w:lvlJc w:val="left"/>
      <w:pPr>
        <w:ind w:left="1068" w:hanging="360"/>
      </w:pPr>
      <w:rPr>
        <w:rFonts w:hint="default"/>
      </w:rPr>
    </w:lvl>
    <w:lvl w:ilvl="1" w:tplc="39E0B3A4">
      <w:start w:val="1"/>
      <w:numFmt w:val="lowerLetter"/>
      <w:lvlText w:val="%2."/>
      <w:lvlJc w:val="left"/>
      <w:pPr>
        <w:ind w:left="1788" w:hanging="360"/>
      </w:pPr>
    </w:lvl>
    <w:lvl w:ilvl="2" w:tplc="526C645E">
      <w:start w:val="1"/>
      <w:numFmt w:val="lowerRoman"/>
      <w:lvlText w:val="%3."/>
      <w:lvlJc w:val="right"/>
      <w:pPr>
        <w:ind w:left="2508" w:hanging="180"/>
      </w:pPr>
    </w:lvl>
    <w:lvl w:ilvl="3" w:tplc="D53AB0E0">
      <w:start w:val="1"/>
      <w:numFmt w:val="decimal"/>
      <w:lvlText w:val="%4."/>
      <w:lvlJc w:val="left"/>
      <w:pPr>
        <w:ind w:left="3228" w:hanging="360"/>
      </w:pPr>
    </w:lvl>
    <w:lvl w:ilvl="4" w:tplc="FD261E1A">
      <w:start w:val="1"/>
      <w:numFmt w:val="lowerLetter"/>
      <w:lvlText w:val="%5."/>
      <w:lvlJc w:val="left"/>
      <w:pPr>
        <w:ind w:left="3948" w:hanging="360"/>
      </w:pPr>
    </w:lvl>
    <w:lvl w:ilvl="5" w:tplc="40D6DE80">
      <w:start w:val="1"/>
      <w:numFmt w:val="lowerRoman"/>
      <w:lvlText w:val="%6."/>
      <w:lvlJc w:val="right"/>
      <w:pPr>
        <w:ind w:left="4668" w:hanging="180"/>
      </w:pPr>
    </w:lvl>
    <w:lvl w:ilvl="6" w:tplc="741CE284">
      <w:start w:val="1"/>
      <w:numFmt w:val="decimal"/>
      <w:lvlText w:val="%7."/>
      <w:lvlJc w:val="left"/>
      <w:pPr>
        <w:ind w:left="5388" w:hanging="360"/>
      </w:pPr>
    </w:lvl>
    <w:lvl w:ilvl="7" w:tplc="A674516E">
      <w:start w:val="1"/>
      <w:numFmt w:val="lowerLetter"/>
      <w:lvlText w:val="%8."/>
      <w:lvlJc w:val="left"/>
      <w:pPr>
        <w:ind w:left="6108" w:hanging="360"/>
      </w:pPr>
    </w:lvl>
    <w:lvl w:ilvl="8" w:tplc="3AAE7512">
      <w:start w:val="1"/>
      <w:numFmt w:val="lowerRoman"/>
      <w:lvlText w:val="%9."/>
      <w:lvlJc w:val="right"/>
      <w:pPr>
        <w:ind w:left="6828" w:hanging="180"/>
      </w:pPr>
    </w:lvl>
  </w:abstractNum>
  <w:abstractNum w:abstractNumId="3" w15:restartNumberingAfterBreak="0">
    <w:nsid w:val="4638242F"/>
    <w:multiLevelType w:val="hybridMultilevel"/>
    <w:tmpl w:val="AE520250"/>
    <w:lvl w:ilvl="0" w:tplc="2284A2F6">
      <w:start w:val="1"/>
      <w:numFmt w:val="decimal"/>
      <w:lvlText w:val="%1."/>
      <w:lvlJc w:val="left"/>
      <w:pPr>
        <w:ind w:left="720" w:hanging="360"/>
      </w:pPr>
      <w:rPr>
        <w:rFonts w:hint="default"/>
        <w:highlight w:val="white"/>
      </w:rPr>
    </w:lvl>
    <w:lvl w:ilvl="1" w:tplc="38B4DD94">
      <w:start w:val="1"/>
      <w:numFmt w:val="lowerLetter"/>
      <w:lvlText w:val="%2."/>
      <w:lvlJc w:val="left"/>
      <w:pPr>
        <w:ind w:left="1440" w:hanging="360"/>
      </w:pPr>
    </w:lvl>
    <w:lvl w:ilvl="2" w:tplc="0EF67928">
      <w:start w:val="1"/>
      <w:numFmt w:val="lowerRoman"/>
      <w:lvlText w:val="%3."/>
      <w:lvlJc w:val="right"/>
      <w:pPr>
        <w:ind w:left="2160" w:hanging="180"/>
      </w:pPr>
    </w:lvl>
    <w:lvl w:ilvl="3" w:tplc="611E4F02">
      <w:start w:val="1"/>
      <w:numFmt w:val="decimal"/>
      <w:lvlText w:val="%4."/>
      <w:lvlJc w:val="left"/>
      <w:pPr>
        <w:ind w:left="2880" w:hanging="360"/>
      </w:pPr>
    </w:lvl>
    <w:lvl w:ilvl="4" w:tplc="8C44B196">
      <w:start w:val="1"/>
      <w:numFmt w:val="lowerLetter"/>
      <w:lvlText w:val="%5."/>
      <w:lvlJc w:val="left"/>
      <w:pPr>
        <w:ind w:left="3600" w:hanging="360"/>
      </w:pPr>
    </w:lvl>
    <w:lvl w:ilvl="5" w:tplc="50B8093A">
      <w:start w:val="1"/>
      <w:numFmt w:val="lowerRoman"/>
      <w:lvlText w:val="%6."/>
      <w:lvlJc w:val="right"/>
      <w:pPr>
        <w:ind w:left="4320" w:hanging="180"/>
      </w:pPr>
    </w:lvl>
    <w:lvl w:ilvl="6" w:tplc="30E425BE">
      <w:start w:val="1"/>
      <w:numFmt w:val="decimal"/>
      <w:lvlText w:val="%7."/>
      <w:lvlJc w:val="left"/>
      <w:pPr>
        <w:ind w:left="5040" w:hanging="360"/>
      </w:pPr>
    </w:lvl>
    <w:lvl w:ilvl="7" w:tplc="72E098BE">
      <w:start w:val="1"/>
      <w:numFmt w:val="lowerLetter"/>
      <w:lvlText w:val="%8."/>
      <w:lvlJc w:val="left"/>
      <w:pPr>
        <w:ind w:left="5760" w:hanging="360"/>
      </w:pPr>
    </w:lvl>
    <w:lvl w:ilvl="8" w:tplc="41108FDE">
      <w:start w:val="1"/>
      <w:numFmt w:val="lowerRoman"/>
      <w:lvlText w:val="%9."/>
      <w:lvlJc w:val="right"/>
      <w:pPr>
        <w:ind w:left="6480" w:hanging="180"/>
      </w:pPr>
    </w:lvl>
  </w:abstractNum>
  <w:abstractNum w:abstractNumId="4" w15:restartNumberingAfterBreak="0">
    <w:nsid w:val="52F41908"/>
    <w:multiLevelType w:val="hybridMultilevel"/>
    <w:tmpl w:val="DF16E272"/>
    <w:lvl w:ilvl="0" w:tplc="C3F07CCE">
      <w:start w:val="1"/>
      <w:numFmt w:val="decimal"/>
      <w:lvlText w:val="%1)"/>
      <w:lvlJc w:val="left"/>
      <w:pPr>
        <w:ind w:left="720" w:hanging="360"/>
      </w:pPr>
      <w:rPr>
        <w:rFonts w:hint="default"/>
      </w:rPr>
    </w:lvl>
    <w:lvl w:ilvl="1" w:tplc="6F64B6D8">
      <w:start w:val="1"/>
      <w:numFmt w:val="lowerLetter"/>
      <w:lvlText w:val="%2."/>
      <w:lvlJc w:val="left"/>
      <w:pPr>
        <w:ind w:left="1440" w:hanging="360"/>
      </w:pPr>
    </w:lvl>
    <w:lvl w:ilvl="2" w:tplc="338CE176">
      <w:start w:val="1"/>
      <w:numFmt w:val="lowerRoman"/>
      <w:lvlText w:val="%3."/>
      <w:lvlJc w:val="right"/>
      <w:pPr>
        <w:ind w:left="2160" w:hanging="180"/>
      </w:pPr>
    </w:lvl>
    <w:lvl w:ilvl="3" w:tplc="1C86B96C">
      <w:start w:val="1"/>
      <w:numFmt w:val="decimal"/>
      <w:lvlText w:val="%4."/>
      <w:lvlJc w:val="left"/>
      <w:pPr>
        <w:ind w:left="2880" w:hanging="360"/>
      </w:pPr>
    </w:lvl>
    <w:lvl w:ilvl="4" w:tplc="114E2284">
      <w:start w:val="1"/>
      <w:numFmt w:val="lowerLetter"/>
      <w:lvlText w:val="%5."/>
      <w:lvlJc w:val="left"/>
      <w:pPr>
        <w:ind w:left="3600" w:hanging="360"/>
      </w:pPr>
    </w:lvl>
    <w:lvl w:ilvl="5" w:tplc="79F42964">
      <w:start w:val="1"/>
      <w:numFmt w:val="lowerRoman"/>
      <w:lvlText w:val="%6."/>
      <w:lvlJc w:val="right"/>
      <w:pPr>
        <w:ind w:left="4320" w:hanging="180"/>
      </w:pPr>
    </w:lvl>
    <w:lvl w:ilvl="6" w:tplc="383A8E3E">
      <w:start w:val="1"/>
      <w:numFmt w:val="decimal"/>
      <w:lvlText w:val="%7."/>
      <w:lvlJc w:val="left"/>
      <w:pPr>
        <w:ind w:left="5040" w:hanging="360"/>
      </w:pPr>
    </w:lvl>
    <w:lvl w:ilvl="7" w:tplc="750A7EDE">
      <w:start w:val="1"/>
      <w:numFmt w:val="lowerLetter"/>
      <w:lvlText w:val="%8."/>
      <w:lvlJc w:val="left"/>
      <w:pPr>
        <w:ind w:left="5760" w:hanging="360"/>
      </w:pPr>
    </w:lvl>
    <w:lvl w:ilvl="8" w:tplc="9DB4A46E">
      <w:start w:val="1"/>
      <w:numFmt w:val="lowerRoman"/>
      <w:lvlText w:val="%9."/>
      <w:lvlJc w:val="right"/>
      <w:pPr>
        <w:ind w:left="6480" w:hanging="180"/>
      </w:pPr>
    </w:lvl>
  </w:abstractNum>
  <w:abstractNum w:abstractNumId="5" w15:restartNumberingAfterBreak="0">
    <w:nsid w:val="5B23273D"/>
    <w:multiLevelType w:val="hybridMultilevel"/>
    <w:tmpl w:val="EE8AA1BE"/>
    <w:lvl w:ilvl="0" w:tplc="95C052B2">
      <w:start w:val="1"/>
      <w:numFmt w:val="bullet"/>
      <w:lvlText w:val=""/>
      <w:lvlJc w:val="left"/>
      <w:pPr>
        <w:ind w:left="720" w:hanging="360"/>
      </w:pPr>
      <w:rPr>
        <w:rFonts w:ascii="Symbol" w:hAnsi="Symbol" w:hint="default"/>
      </w:rPr>
    </w:lvl>
    <w:lvl w:ilvl="1" w:tplc="F5401EB6">
      <w:start w:val="1"/>
      <w:numFmt w:val="bullet"/>
      <w:lvlText w:val="o"/>
      <w:lvlJc w:val="left"/>
      <w:pPr>
        <w:ind w:left="1440" w:hanging="360"/>
      </w:pPr>
      <w:rPr>
        <w:rFonts w:ascii="Courier New" w:hAnsi="Courier New" w:cs="Courier New" w:hint="default"/>
      </w:rPr>
    </w:lvl>
    <w:lvl w:ilvl="2" w:tplc="9D5427BA">
      <w:start w:val="1"/>
      <w:numFmt w:val="bullet"/>
      <w:lvlText w:val=""/>
      <w:lvlJc w:val="left"/>
      <w:pPr>
        <w:ind w:left="2160" w:hanging="360"/>
      </w:pPr>
      <w:rPr>
        <w:rFonts w:ascii="Wingdings" w:hAnsi="Wingdings" w:hint="default"/>
      </w:rPr>
    </w:lvl>
    <w:lvl w:ilvl="3" w:tplc="5E38029A">
      <w:start w:val="1"/>
      <w:numFmt w:val="bullet"/>
      <w:lvlText w:val=""/>
      <w:lvlJc w:val="left"/>
      <w:pPr>
        <w:ind w:left="2880" w:hanging="360"/>
      </w:pPr>
      <w:rPr>
        <w:rFonts w:ascii="Symbol" w:hAnsi="Symbol" w:hint="default"/>
      </w:rPr>
    </w:lvl>
    <w:lvl w:ilvl="4" w:tplc="36B4FD0C">
      <w:start w:val="1"/>
      <w:numFmt w:val="bullet"/>
      <w:lvlText w:val="o"/>
      <w:lvlJc w:val="left"/>
      <w:pPr>
        <w:ind w:left="3600" w:hanging="360"/>
      </w:pPr>
      <w:rPr>
        <w:rFonts w:ascii="Courier New" w:hAnsi="Courier New" w:cs="Courier New" w:hint="default"/>
      </w:rPr>
    </w:lvl>
    <w:lvl w:ilvl="5" w:tplc="46B4F19E">
      <w:start w:val="1"/>
      <w:numFmt w:val="bullet"/>
      <w:lvlText w:val=""/>
      <w:lvlJc w:val="left"/>
      <w:pPr>
        <w:ind w:left="4320" w:hanging="360"/>
      </w:pPr>
      <w:rPr>
        <w:rFonts w:ascii="Wingdings" w:hAnsi="Wingdings" w:hint="default"/>
      </w:rPr>
    </w:lvl>
    <w:lvl w:ilvl="6" w:tplc="0108F392">
      <w:start w:val="1"/>
      <w:numFmt w:val="bullet"/>
      <w:lvlText w:val=""/>
      <w:lvlJc w:val="left"/>
      <w:pPr>
        <w:ind w:left="5040" w:hanging="360"/>
      </w:pPr>
      <w:rPr>
        <w:rFonts w:ascii="Symbol" w:hAnsi="Symbol" w:hint="default"/>
      </w:rPr>
    </w:lvl>
    <w:lvl w:ilvl="7" w:tplc="AEA6AFE8">
      <w:start w:val="1"/>
      <w:numFmt w:val="bullet"/>
      <w:lvlText w:val="o"/>
      <w:lvlJc w:val="left"/>
      <w:pPr>
        <w:ind w:left="5760" w:hanging="360"/>
      </w:pPr>
      <w:rPr>
        <w:rFonts w:ascii="Courier New" w:hAnsi="Courier New" w:cs="Courier New" w:hint="default"/>
      </w:rPr>
    </w:lvl>
    <w:lvl w:ilvl="8" w:tplc="E696A49A">
      <w:start w:val="1"/>
      <w:numFmt w:val="bullet"/>
      <w:lvlText w:val=""/>
      <w:lvlJc w:val="left"/>
      <w:pPr>
        <w:ind w:left="6480" w:hanging="360"/>
      </w:pPr>
      <w:rPr>
        <w:rFonts w:ascii="Wingdings" w:hAnsi="Wingdings" w:hint="default"/>
      </w:rPr>
    </w:lvl>
  </w:abstractNum>
  <w:abstractNum w:abstractNumId="6" w15:restartNumberingAfterBreak="0">
    <w:nsid w:val="5E3C703F"/>
    <w:multiLevelType w:val="hybridMultilevel"/>
    <w:tmpl w:val="EE3AD14A"/>
    <w:lvl w:ilvl="0" w:tplc="887A5036">
      <w:start w:val="1"/>
      <w:numFmt w:val="decimal"/>
      <w:lvlText w:val="%1."/>
      <w:lvlJc w:val="left"/>
      <w:pPr>
        <w:ind w:left="720" w:hanging="360"/>
      </w:pPr>
      <w:rPr>
        <w:rFonts w:hint="default"/>
        <w:highlight w:val="white"/>
      </w:rPr>
    </w:lvl>
    <w:lvl w:ilvl="1" w:tplc="90349600">
      <w:start w:val="1"/>
      <w:numFmt w:val="lowerLetter"/>
      <w:lvlText w:val="%2."/>
      <w:lvlJc w:val="left"/>
      <w:pPr>
        <w:ind w:left="1440" w:hanging="360"/>
      </w:pPr>
    </w:lvl>
    <w:lvl w:ilvl="2" w:tplc="FB58EEB6">
      <w:start w:val="1"/>
      <w:numFmt w:val="lowerRoman"/>
      <w:lvlText w:val="%3."/>
      <w:lvlJc w:val="right"/>
      <w:pPr>
        <w:ind w:left="2160" w:hanging="180"/>
      </w:pPr>
    </w:lvl>
    <w:lvl w:ilvl="3" w:tplc="51BAD0E4">
      <w:start w:val="1"/>
      <w:numFmt w:val="decimal"/>
      <w:lvlText w:val="%4."/>
      <w:lvlJc w:val="left"/>
      <w:pPr>
        <w:ind w:left="2880" w:hanging="360"/>
      </w:pPr>
    </w:lvl>
    <w:lvl w:ilvl="4" w:tplc="424E3624">
      <w:start w:val="1"/>
      <w:numFmt w:val="lowerLetter"/>
      <w:lvlText w:val="%5."/>
      <w:lvlJc w:val="left"/>
      <w:pPr>
        <w:ind w:left="3600" w:hanging="360"/>
      </w:pPr>
    </w:lvl>
    <w:lvl w:ilvl="5" w:tplc="537886F0">
      <w:start w:val="1"/>
      <w:numFmt w:val="lowerRoman"/>
      <w:lvlText w:val="%6."/>
      <w:lvlJc w:val="right"/>
      <w:pPr>
        <w:ind w:left="4320" w:hanging="180"/>
      </w:pPr>
    </w:lvl>
    <w:lvl w:ilvl="6" w:tplc="25F698EE">
      <w:start w:val="1"/>
      <w:numFmt w:val="decimal"/>
      <w:lvlText w:val="%7."/>
      <w:lvlJc w:val="left"/>
      <w:pPr>
        <w:ind w:left="5040" w:hanging="360"/>
      </w:pPr>
    </w:lvl>
    <w:lvl w:ilvl="7" w:tplc="75B66784">
      <w:start w:val="1"/>
      <w:numFmt w:val="lowerLetter"/>
      <w:lvlText w:val="%8."/>
      <w:lvlJc w:val="left"/>
      <w:pPr>
        <w:ind w:left="5760" w:hanging="360"/>
      </w:pPr>
    </w:lvl>
    <w:lvl w:ilvl="8" w:tplc="B9F2F41E">
      <w:start w:val="1"/>
      <w:numFmt w:val="lowerRoman"/>
      <w:lvlText w:val="%9."/>
      <w:lvlJc w:val="right"/>
      <w:pPr>
        <w:ind w:left="6480" w:hanging="180"/>
      </w:pPr>
    </w:lvl>
  </w:abstractNum>
  <w:abstractNum w:abstractNumId="7" w15:restartNumberingAfterBreak="0">
    <w:nsid w:val="5FFD4255"/>
    <w:multiLevelType w:val="hybridMultilevel"/>
    <w:tmpl w:val="CE10C77A"/>
    <w:lvl w:ilvl="0" w:tplc="3B72EFFC">
      <w:start w:val="1"/>
      <w:numFmt w:val="decimal"/>
      <w:lvlText w:val="%1)"/>
      <w:lvlJc w:val="left"/>
      <w:pPr>
        <w:ind w:left="720" w:hanging="360"/>
      </w:pPr>
      <w:rPr>
        <w:rFonts w:hint="default"/>
      </w:rPr>
    </w:lvl>
    <w:lvl w:ilvl="1" w:tplc="5D202302">
      <w:start w:val="1"/>
      <w:numFmt w:val="lowerLetter"/>
      <w:lvlText w:val="%2."/>
      <w:lvlJc w:val="left"/>
      <w:pPr>
        <w:ind w:left="1440" w:hanging="360"/>
      </w:pPr>
    </w:lvl>
    <w:lvl w:ilvl="2" w:tplc="807CAD0E">
      <w:start w:val="1"/>
      <w:numFmt w:val="lowerRoman"/>
      <w:lvlText w:val="%3."/>
      <w:lvlJc w:val="right"/>
      <w:pPr>
        <w:ind w:left="2160" w:hanging="180"/>
      </w:pPr>
    </w:lvl>
    <w:lvl w:ilvl="3" w:tplc="7F28B63A">
      <w:start w:val="1"/>
      <w:numFmt w:val="decimal"/>
      <w:lvlText w:val="%4."/>
      <w:lvlJc w:val="left"/>
      <w:pPr>
        <w:ind w:left="2880" w:hanging="360"/>
      </w:pPr>
    </w:lvl>
    <w:lvl w:ilvl="4" w:tplc="58065926">
      <w:start w:val="1"/>
      <w:numFmt w:val="lowerLetter"/>
      <w:lvlText w:val="%5."/>
      <w:lvlJc w:val="left"/>
      <w:pPr>
        <w:ind w:left="3600" w:hanging="360"/>
      </w:pPr>
    </w:lvl>
    <w:lvl w:ilvl="5" w:tplc="8A406072">
      <w:start w:val="1"/>
      <w:numFmt w:val="lowerRoman"/>
      <w:lvlText w:val="%6."/>
      <w:lvlJc w:val="right"/>
      <w:pPr>
        <w:ind w:left="4320" w:hanging="180"/>
      </w:pPr>
    </w:lvl>
    <w:lvl w:ilvl="6" w:tplc="58C87A18">
      <w:start w:val="1"/>
      <w:numFmt w:val="decimal"/>
      <w:lvlText w:val="%7."/>
      <w:lvlJc w:val="left"/>
      <w:pPr>
        <w:ind w:left="5040" w:hanging="360"/>
      </w:pPr>
    </w:lvl>
    <w:lvl w:ilvl="7" w:tplc="696A66DC">
      <w:start w:val="1"/>
      <w:numFmt w:val="lowerLetter"/>
      <w:lvlText w:val="%8."/>
      <w:lvlJc w:val="left"/>
      <w:pPr>
        <w:ind w:left="5760" w:hanging="360"/>
      </w:pPr>
    </w:lvl>
    <w:lvl w:ilvl="8" w:tplc="9148F556">
      <w:start w:val="1"/>
      <w:numFmt w:val="lowerRoman"/>
      <w:lvlText w:val="%9."/>
      <w:lvlJc w:val="right"/>
      <w:pPr>
        <w:ind w:left="6480" w:hanging="180"/>
      </w:pPr>
    </w:lvl>
  </w:abstractNum>
  <w:abstractNum w:abstractNumId="8" w15:restartNumberingAfterBreak="0">
    <w:nsid w:val="63417BB9"/>
    <w:multiLevelType w:val="multilevel"/>
    <w:tmpl w:val="BC9412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5566BA5"/>
    <w:multiLevelType w:val="hybridMultilevel"/>
    <w:tmpl w:val="D434559A"/>
    <w:lvl w:ilvl="0" w:tplc="4CA4B542">
      <w:start w:val="1"/>
      <w:numFmt w:val="bullet"/>
      <w:lvlText w:val=""/>
      <w:lvlJc w:val="left"/>
      <w:pPr>
        <w:ind w:left="720" w:hanging="360"/>
      </w:pPr>
      <w:rPr>
        <w:rFonts w:ascii="Symbol" w:eastAsia="Symbol" w:hAnsi="Symbol" w:cs="Symbol" w:hint="default"/>
      </w:rPr>
    </w:lvl>
    <w:lvl w:ilvl="1" w:tplc="5B06515C">
      <w:start w:val="1"/>
      <w:numFmt w:val="bullet"/>
      <w:lvlText w:val="o"/>
      <w:lvlJc w:val="left"/>
      <w:pPr>
        <w:ind w:left="1440" w:hanging="360"/>
      </w:pPr>
      <w:rPr>
        <w:rFonts w:ascii="Courier New" w:eastAsia="Courier New" w:hAnsi="Courier New" w:cs="Courier New" w:hint="default"/>
      </w:rPr>
    </w:lvl>
    <w:lvl w:ilvl="2" w:tplc="9356B8FE">
      <w:start w:val="1"/>
      <w:numFmt w:val="bullet"/>
      <w:lvlText w:val=""/>
      <w:lvlJc w:val="left"/>
      <w:pPr>
        <w:ind w:left="2160" w:hanging="360"/>
      </w:pPr>
      <w:rPr>
        <w:rFonts w:ascii="Wingdings" w:eastAsia="Wingdings" w:hAnsi="Wingdings" w:cs="Wingdings" w:hint="default"/>
      </w:rPr>
    </w:lvl>
    <w:lvl w:ilvl="3" w:tplc="A23AF73A">
      <w:start w:val="1"/>
      <w:numFmt w:val="bullet"/>
      <w:lvlText w:val=""/>
      <w:lvlJc w:val="left"/>
      <w:pPr>
        <w:ind w:left="2880" w:hanging="360"/>
      </w:pPr>
      <w:rPr>
        <w:rFonts w:ascii="Wingdings" w:eastAsia="Wingdings" w:hAnsi="Wingdings" w:cs="Wingdings" w:hint="default"/>
      </w:rPr>
    </w:lvl>
    <w:lvl w:ilvl="4" w:tplc="20AA7E54">
      <w:start w:val="1"/>
      <w:numFmt w:val="bullet"/>
      <w:lvlText w:val=""/>
      <w:lvlJc w:val="left"/>
      <w:pPr>
        <w:ind w:left="3600" w:hanging="360"/>
      </w:pPr>
      <w:rPr>
        <w:rFonts w:ascii="Wingdings" w:eastAsia="Wingdings" w:hAnsi="Wingdings" w:cs="Wingdings" w:hint="default"/>
      </w:rPr>
    </w:lvl>
    <w:lvl w:ilvl="5" w:tplc="C0DE7C20">
      <w:start w:val="1"/>
      <w:numFmt w:val="bullet"/>
      <w:lvlText w:val=""/>
      <w:lvlJc w:val="left"/>
      <w:pPr>
        <w:ind w:left="4320" w:hanging="360"/>
      </w:pPr>
      <w:rPr>
        <w:rFonts w:ascii="Wingdings" w:eastAsia="Wingdings" w:hAnsi="Wingdings" w:cs="Wingdings" w:hint="default"/>
      </w:rPr>
    </w:lvl>
    <w:lvl w:ilvl="6" w:tplc="773257B4">
      <w:start w:val="1"/>
      <w:numFmt w:val="bullet"/>
      <w:lvlText w:val=""/>
      <w:lvlJc w:val="left"/>
      <w:pPr>
        <w:ind w:left="5040" w:hanging="360"/>
      </w:pPr>
      <w:rPr>
        <w:rFonts w:ascii="Wingdings" w:eastAsia="Wingdings" w:hAnsi="Wingdings" w:cs="Wingdings" w:hint="default"/>
      </w:rPr>
    </w:lvl>
    <w:lvl w:ilvl="7" w:tplc="26AE3894">
      <w:start w:val="1"/>
      <w:numFmt w:val="bullet"/>
      <w:lvlText w:val=""/>
      <w:lvlJc w:val="left"/>
      <w:pPr>
        <w:ind w:left="5760" w:hanging="360"/>
      </w:pPr>
      <w:rPr>
        <w:rFonts w:ascii="Wingdings" w:eastAsia="Wingdings" w:hAnsi="Wingdings" w:cs="Wingdings" w:hint="default"/>
      </w:rPr>
    </w:lvl>
    <w:lvl w:ilvl="8" w:tplc="F4FE73AA">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66087C60"/>
    <w:multiLevelType w:val="hybridMultilevel"/>
    <w:tmpl w:val="6B9EF0C8"/>
    <w:lvl w:ilvl="0" w:tplc="C78A78D6">
      <w:start w:val="1"/>
      <w:numFmt w:val="decimal"/>
      <w:lvlText w:val="%1."/>
      <w:lvlJc w:val="left"/>
      <w:pPr>
        <w:ind w:left="2912" w:hanging="360"/>
      </w:pPr>
      <w:rPr>
        <w:rFonts w:hint="default"/>
        <w:highlight w:val="white"/>
      </w:rPr>
    </w:lvl>
    <w:lvl w:ilvl="1" w:tplc="2F2272E4">
      <w:start w:val="1"/>
      <w:numFmt w:val="lowerLetter"/>
      <w:lvlText w:val="%2."/>
      <w:lvlJc w:val="left"/>
      <w:pPr>
        <w:ind w:left="3632" w:hanging="360"/>
      </w:pPr>
    </w:lvl>
    <w:lvl w:ilvl="2" w:tplc="0218BE8A">
      <w:start w:val="1"/>
      <w:numFmt w:val="lowerRoman"/>
      <w:lvlText w:val="%3."/>
      <w:lvlJc w:val="right"/>
      <w:pPr>
        <w:ind w:left="4352" w:hanging="180"/>
      </w:pPr>
    </w:lvl>
    <w:lvl w:ilvl="3" w:tplc="5F56C55E">
      <w:start w:val="1"/>
      <w:numFmt w:val="decimal"/>
      <w:lvlText w:val="%4."/>
      <w:lvlJc w:val="left"/>
      <w:pPr>
        <w:ind w:left="5072" w:hanging="360"/>
      </w:pPr>
    </w:lvl>
    <w:lvl w:ilvl="4" w:tplc="2384FE5E">
      <w:start w:val="1"/>
      <w:numFmt w:val="lowerLetter"/>
      <w:lvlText w:val="%5."/>
      <w:lvlJc w:val="left"/>
      <w:pPr>
        <w:ind w:left="5792" w:hanging="360"/>
      </w:pPr>
    </w:lvl>
    <w:lvl w:ilvl="5" w:tplc="0DE46410">
      <w:start w:val="1"/>
      <w:numFmt w:val="lowerRoman"/>
      <w:lvlText w:val="%6."/>
      <w:lvlJc w:val="right"/>
      <w:pPr>
        <w:ind w:left="6512" w:hanging="180"/>
      </w:pPr>
    </w:lvl>
    <w:lvl w:ilvl="6" w:tplc="56FC76E8">
      <w:start w:val="1"/>
      <w:numFmt w:val="decimal"/>
      <w:lvlText w:val="%7."/>
      <w:lvlJc w:val="left"/>
      <w:pPr>
        <w:ind w:left="7232" w:hanging="360"/>
      </w:pPr>
    </w:lvl>
    <w:lvl w:ilvl="7" w:tplc="38F09CD0">
      <w:start w:val="1"/>
      <w:numFmt w:val="lowerLetter"/>
      <w:lvlText w:val="%8."/>
      <w:lvlJc w:val="left"/>
      <w:pPr>
        <w:ind w:left="7952" w:hanging="360"/>
      </w:pPr>
    </w:lvl>
    <w:lvl w:ilvl="8" w:tplc="77B8643C">
      <w:start w:val="1"/>
      <w:numFmt w:val="lowerRoman"/>
      <w:lvlText w:val="%9."/>
      <w:lvlJc w:val="right"/>
      <w:pPr>
        <w:ind w:left="8672" w:hanging="180"/>
      </w:pPr>
    </w:lvl>
  </w:abstractNum>
  <w:abstractNum w:abstractNumId="11" w15:restartNumberingAfterBreak="0">
    <w:nsid w:val="6B90449E"/>
    <w:multiLevelType w:val="hybridMultilevel"/>
    <w:tmpl w:val="4B240D20"/>
    <w:lvl w:ilvl="0" w:tplc="EDAA45A2">
      <w:start w:val="1"/>
      <w:numFmt w:val="decimal"/>
      <w:lvlText w:val="%1."/>
      <w:lvlJc w:val="left"/>
      <w:pPr>
        <w:ind w:left="720" w:hanging="360"/>
      </w:pPr>
      <w:rPr>
        <w:rFonts w:hint="default"/>
      </w:rPr>
    </w:lvl>
    <w:lvl w:ilvl="1" w:tplc="CC963C76">
      <w:start w:val="1"/>
      <w:numFmt w:val="lowerLetter"/>
      <w:lvlText w:val="%2."/>
      <w:lvlJc w:val="left"/>
      <w:pPr>
        <w:ind w:left="1440" w:hanging="360"/>
      </w:pPr>
    </w:lvl>
    <w:lvl w:ilvl="2" w:tplc="EDB6FC5A">
      <w:start w:val="1"/>
      <w:numFmt w:val="lowerRoman"/>
      <w:lvlText w:val="%3."/>
      <w:lvlJc w:val="right"/>
      <w:pPr>
        <w:ind w:left="2160" w:hanging="180"/>
      </w:pPr>
    </w:lvl>
    <w:lvl w:ilvl="3" w:tplc="AC6EAD34">
      <w:start w:val="1"/>
      <w:numFmt w:val="decimal"/>
      <w:lvlText w:val="%4."/>
      <w:lvlJc w:val="left"/>
      <w:pPr>
        <w:ind w:left="2880" w:hanging="360"/>
      </w:pPr>
    </w:lvl>
    <w:lvl w:ilvl="4" w:tplc="4262FFAA">
      <w:start w:val="1"/>
      <w:numFmt w:val="lowerLetter"/>
      <w:lvlText w:val="%5."/>
      <w:lvlJc w:val="left"/>
      <w:pPr>
        <w:ind w:left="3600" w:hanging="360"/>
      </w:pPr>
    </w:lvl>
    <w:lvl w:ilvl="5" w:tplc="DA98902C">
      <w:start w:val="1"/>
      <w:numFmt w:val="lowerRoman"/>
      <w:lvlText w:val="%6."/>
      <w:lvlJc w:val="right"/>
      <w:pPr>
        <w:ind w:left="4320" w:hanging="180"/>
      </w:pPr>
    </w:lvl>
    <w:lvl w:ilvl="6" w:tplc="86EA2274">
      <w:start w:val="1"/>
      <w:numFmt w:val="decimal"/>
      <w:lvlText w:val="%7."/>
      <w:lvlJc w:val="left"/>
      <w:pPr>
        <w:ind w:left="5040" w:hanging="360"/>
      </w:pPr>
    </w:lvl>
    <w:lvl w:ilvl="7" w:tplc="00A4DBDE">
      <w:start w:val="1"/>
      <w:numFmt w:val="lowerLetter"/>
      <w:lvlText w:val="%8."/>
      <w:lvlJc w:val="left"/>
      <w:pPr>
        <w:ind w:left="5760" w:hanging="360"/>
      </w:pPr>
    </w:lvl>
    <w:lvl w:ilvl="8" w:tplc="523090C2">
      <w:start w:val="1"/>
      <w:numFmt w:val="lowerRoman"/>
      <w:lvlText w:val="%9."/>
      <w:lvlJc w:val="right"/>
      <w:pPr>
        <w:ind w:left="6480" w:hanging="180"/>
      </w:pPr>
    </w:lvl>
  </w:abstractNum>
  <w:abstractNum w:abstractNumId="12" w15:restartNumberingAfterBreak="0">
    <w:nsid w:val="6EC66184"/>
    <w:multiLevelType w:val="hybridMultilevel"/>
    <w:tmpl w:val="94F86E6E"/>
    <w:lvl w:ilvl="0" w:tplc="E11EE8A8">
      <w:start w:val="1"/>
      <w:numFmt w:val="decimal"/>
      <w:lvlText w:val="%1)"/>
      <w:lvlJc w:val="left"/>
      <w:pPr>
        <w:ind w:left="720" w:hanging="360"/>
      </w:pPr>
      <w:rPr>
        <w:rFonts w:hint="default"/>
      </w:rPr>
    </w:lvl>
    <w:lvl w:ilvl="1" w:tplc="315E438A">
      <w:start w:val="1"/>
      <w:numFmt w:val="lowerLetter"/>
      <w:lvlText w:val="%2."/>
      <w:lvlJc w:val="left"/>
      <w:pPr>
        <w:ind w:left="1440" w:hanging="360"/>
      </w:pPr>
    </w:lvl>
    <w:lvl w:ilvl="2" w:tplc="90685FB6">
      <w:start w:val="1"/>
      <w:numFmt w:val="lowerRoman"/>
      <w:lvlText w:val="%3."/>
      <w:lvlJc w:val="right"/>
      <w:pPr>
        <w:ind w:left="2160" w:hanging="180"/>
      </w:pPr>
    </w:lvl>
    <w:lvl w:ilvl="3" w:tplc="451CAEEA">
      <w:start w:val="1"/>
      <w:numFmt w:val="decimal"/>
      <w:lvlText w:val="%4."/>
      <w:lvlJc w:val="left"/>
      <w:pPr>
        <w:ind w:left="2880" w:hanging="360"/>
      </w:pPr>
    </w:lvl>
    <w:lvl w:ilvl="4" w:tplc="CBE49F06">
      <w:start w:val="1"/>
      <w:numFmt w:val="lowerLetter"/>
      <w:lvlText w:val="%5."/>
      <w:lvlJc w:val="left"/>
      <w:pPr>
        <w:ind w:left="3600" w:hanging="360"/>
      </w:pPr>
    </w:lvl>
    <w:lvl w:ilvl="5" w:tplc="278C9524">
      <w:start w:val="1"/>
      <w:numFmt w:val="lowerRoman"/>
      <w:lvlText w:val="%6."/>
      <w:lvlJc w:val="right"/>
      <w:pPr>
        <w:ind w:left="4320" w:hanging="180"/>
      </w:pPr>
    </w:lvl>
    <w:lvl w:ilvl="6" w:tplc="F550BBC8">
      <w:start w:val="1"/>
      <w:numFmt w:val="decimal"/>
      <w:lvlText w:val="%7."/>
      <w:lvlJc w:val="left"/>
      <w:pPr>
        <w:ind w:left="5040" w:hanging="360"/>
      </w:pPr>
    </w:lvl>
    <w:lvl w:ilvl="7" w:tplc="6930E1F6">
      <w:start w:val="1"/>
      <w:numFmt w:val="lowerLetter"/>
      <w:lvlText w:val="%8."/>
      <w:lvlJc w:val="left"/>
      <w:pPr>
        <w:ind w:left="5760" w:hanging="360"/>
      </w:pPr>
    </w:lvl>
    <w:lvl w:ilvl="8" w:tplc="40323C82">
      <w:start w:val="1"/>
      <w:numFmt w:val="lowerRoman"/>
      <w:lvlText w:val="%9."/>
      <w:lvlJc w:val="right"/>
      <w:pPr>
        <w:ind w:left="6480" w:hanging="180"/>
      </w:pPr>
    </w:lvl>
  </w:abstractNum>
  <w:abstractNum w:abstractNumId="13" w15:restartNumberingAfterBreak="0">
    <w:nsid w:val="71F521F5"/>
    <w:multiLevelType w:val="hybridMultilevel"/>
    <w:tmpl w:val="BF6AE480"/>
    <w:lvl w:ilvl="0" w:tplc="C562DEDC">
      <w:start w:val="1"/>
      <w:numFmt w:val="decimal"/>
      <w:lvlText w:val="%1."/>
      <w:lvlJc w:val="left"/>
    </w:lvl>
    <w:lvl w:ilvl="1" w:tplc="2738ED78">
      <w:start w:val="1"/>
      <w:numFmt w:val="lowerLetter"/>
      <w:lvlText w:val="%2."/>
      <w:lvlJc w:val="left"/>
      <w:pPr>
        <w:ind w:left="1440" w:hanging="360"/>
      </w:pPr>
    </w:lvl>
    <w:lvl w:ilvl="2" w:tplc="94981B92">
      <w:start w:val="1"/>
      <w:numFmt w:val="lowerRoman"/>
      <w:lvlText w:val="%3."/>
      <w:lvlJc w:val="right"/>
      <w:pPr>
        <w:ind w:left="2160" w:hanging="180"/>
      </w:pPr>
    </w:lvl>
    <w:lvl w:ilvl="3" w:tplc="0DEA4E60">
      <w:start w:val="1"/>
      <w:numFmt w:val="decimal"/>
      <w:lvlText w:val="%4."/>
      <w:lvlJc w:val="left"/>
      <w:pPr>
        <w:ind w:left="2880" w:hanging="360"/>
      </w:pPr>
    </w:lvl>
    <w:lvl w:ilvl="4" w:tplc="105AB020">
      <w:start w:val="1"/>
      <w:numFmt w:val="lowerLetter"/>
      <w:lvlText w:val="%5."/>
      <w:lvlJc w:val="left"/>
      <w:pPr>
        <w:ind w:left="3600" w:hanging="360"/>
      </w:pPr>
    </w:lvl>
    <w:lvl w:ilvl="5" w:tplc="6608D88E">
      <w:start w:val="1"/>
      <w:numFmt w:val="lowerRoman"/>
      <w:lvlText w:val="%6."/>
      <w:lvlJc w:val="right"/>
      <w:pPr>
        <w:ind w:left="4320" w:hanging="180"/>
      </w:pPr>
    </w:lvl>
    <w:lvl w:ilvl="6" w:tplc="745A359C">
      <w:start w:val="1"/>
      <w:numFmt w:val="decimal"/>
      <w:lvlText w:val="%7."/>
      <w:lvlJc w:val="left"/>
      <w:pPr>
        <w:ind w:left="5040" w:hanging="360"/>
      </w:pPr>
    </w:lvl>
    <w:lvl w:ilvl="7" w:tplc="149AB968">
      <w:start w:val="1"/>
      <w:numFmt w:val="lowerLetter"/>
      <w:lvlText w:val="%8."/>
      <w:lvlJc w:val="left"/>
      <w:pPr>
        <w:ind w:left="5760" w:hanging="360"/>
      </w:pPr>
    </w:lvl>
    <w:lvl w:ilvl="8" w:tplc="8072290C">
      <w:start w:val="1"/>
      <w:numFmt w:val="lowerRoman"/>
      <w:lvlText w:val="%9."/>
      <w:lvlJc w:val="right"/>
      <w:pPr>
        <w:ind w:left="6480" w:hanging="180"/>
      </w:pPr>
    </w:lvl>
  </w:abstractNum>
  <w:num w:numId="1">
    <w:abstractNumId w:val="2"/>
  </w:num>
  <w:num w:numId="2">
    <w:abstractNumId w:val="10"/>
  </w:num>
  <w:num w:numId="3">
    <w:abstractNumId w:val="0"/>
  </w:num>
  <w:num w:numId="4">
    <w:abstractNumId w:val="5"/>
  </w:num>
  <w:num w:numId="5">
    <w:abstractNumId w:val="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7"/>
  </w:num>
  <w:num w:numId="10">
    <w:abstractNumId w:val="12"/>
  </w:num>
  <w:num w:numId="11">
    <w:abstractNumId w:val="11"/>
  </w:num>
  <w:num w:numId="12">
    <w:abstractNumId w:val="6"/>
  </w:num>
  <w:num w:numId="13">
    <w:abstractNumId w:val="3"/>
  </w:num>
  <w:num w:numId="14">
    <w:abstractNumId w:val="8"/>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167"/>
    <w:rsid w:val="00416A3D"/>
    <w:rsid w:val="00A73167"/>
    <w:rsid w:val="00F52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8ED130-6B65-42FC-A65B-531E8E24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pPr>
      <w:spacing w:after="40" w:line="240" w:lineRule="auto"/>
    </w:pPr>
    <w:rPr>
      <w:sz w:val="18"/>
    </w:rPr>
  </w:style>
  <w:style w:type="character" w:customStyle="1" w:styleId="ab">
    <w:name w:val="Текст сноски Знак"/>
    <w:link w:val="aa"/>
    <w:uiPriority w:val="99"/>
    <w:rPr>
      <w:sz w:val="18"/>
    </w:rPr>
  </w:style>
  <w:style w:type="character" w:styleId="ac">
    <w:name w:val="footnote reference"/>
    <w:basedOn w:val="a0"/>
    <w:uiPriority w:val="99"/>
    <w:unhideWhenUsed/>
    <w:rPr>
      <w:vertAlign w:val="superscript"/>
    </w:rPr>
  </w:style>
  <w:style w:type="paragraph" w:styleId="ad">
    <w:name w:val="endnote text"/>
    <w:basedOn w:val="a"/>
    <w:link w:val="ae"/>
    <w:uiPriority w:val="99"/>
    <w:semiHidden/>
    <w:unhideWhenUsed/>
    <w:pPr>
      <w:spacing w:after="0" w:line="240" w:lineRule="auto"/>
    </w:pPr>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pPr>
      <w:spacing w:after="0"/>
    </w:pPr>
  </w:style>
  <w:style w:type="paragraph" w:styleId="af2">
    <w:name w:val="Balloon Text"/>
    <w:basedOn w:val="a"/>
    <w:link w:val="af3"/>
    <w:uiPriority w:val="99"/>
    <w:semiHidden/>
    <w:unhideWhenUsed/>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Pr>
      <w:rFonts w:ascii="Tahoma" w:hAnsi="Tahoma" w:cs="Tahoma"/>
      <w:sz w:val="16"/>
      <w:szCs w:val="16"/>
    </w:rPr>
  </w:style>
  <w:style w:type="table" w:styleId="af4">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header"/>
    <w:basedOn w:val="a"/>
    <w:link w:val="af6"/>
    <w:uiPriority w:val="99"/>
    <w:unhideWhenUsed/>
    <w:pPr>
      <w:tabs>
        <w:tab w:val="center" w:pos="4677"/>
        <w:tab w:val="right" w:pos="9355"/>
      </w:tabs>
      <w:spacing w:after="0" w:line="240" w:lineRule="auto"/>
    </w:pPr>
  </w:style>
  <w:style w:type="character" w:customStyle="1" w:styleId="af6">
    <w:name w:val="Верхний колонтитул Знак"/>
    <w:basedOn w:val="a0"/>
    <w:link w:val="af5"/>
    <w:uiPriority w:val="99"/>
  </w:style>
  <w:style w:type="paragraph" w:styleId="af7">
    <w:name w:val="footer"/>
    <w:basedOn w:val="a"/>
    <w:link w:val="af8"/>
    <w:uiPriority w:val="99"/>
    <w:unhideWhenUsed/>
    <w:pPr>
      <w:tabs>
        <w:tab w:val="center" w:pos="4677"/>
        <w:tab w:val="right" w:pos="9355"/>
      </w:tabs>
      <w:spacing w:after="0" w:line="240" w:lineRule="auto"/>
    </w:pPr>
  </w:style>
  <w:style w:type="character" w:customStyle="1" w:styleId="af8">
    <w:name w:val="Нижний колонтитул Знак"/>
    <w:basedOn w:val="a0"/>
    <w:link w:val="af7"/>
    <w:uiPriority w:val="99"/>
  </w:style>
  <w:style w:type="paragraph" w:customStyle="1" w:styleId="ConsPlusTitle">
    <w:name w:val="ConsPlusTitle"/>
    <w:pPr>
      <w:spacing w:after="0" w:line="240" w:lineRule="auto"/>
    </w:pPr>
    <w:rPr>
      <w:rFonts w:ascii="Times New Roman" w:eastAsia="Times New Roman" w:hAnsi="Times New Roman" w:cs="Times New Roman"/>
      <w:b/>
      <w:bCs/>
      <w:sz w:val="28"/>
      <w:szCs w:val="28"/>
    </w:rPr>
  </w:style>
  <w:style w:type="paragraph" w:styleId="af9">
    <w:name w:val="Body Text Indent"/>
    <w:basedOn w:val="a"/>
    <w:link w:val="afa"/>
    <w:pPr>
      <w:spacing w:after="120"/>
      <w:ind w:left="283"/>
    </w:pPr>
    <w:rPr>
      <w:rFonts w:ascii="Century Gothic" w:eastAsia="Times New Roman" w:hAnsi="Century Gothic" w:cs="Times New Roman"/>
      <w:lang w:val="en-US"/>
    </w:rPr>
  </w:style>
  <w:style w:type="character" w:customStyle="1" w:styleId="afa">
    <w:name w:val="Основной текст с отступом Знак"/>
    <w:basedOn w:val="a0"/>
    <w:link w:val="af9"/>
    <w:rPr>
      <w:rFonts w:ascii="Century Gothic" w:eastAsia="Times New Roman" w:hAnsi="Century Gothic" w:cs="Times New Roman"/>
      <w:lang w:val="en-US"/>
    </w:rPr>
  </w:style>
  <w:style w:type="paragraph" w:styleId="afb">
    <w:name w:val="No Spacing"/>
    <w:uiPriority w:val="1"/>
    <w:qFormat/>
    <w:pPr>
      <w:spacing w:after="0" w:line="240" w:lineRule="auto"/>
    </w:pPr>
  </w:style>
  <w:style w:type="character" w:styleId="afc">
    <w:name w:val="Hyperlink"/>
    <w:basedOn w:val="a0"/>
    <w:uiPriority w:val="99"/>
    <w:unhideWhenUsed/>
    <w:rPr>
      <w:color w:val="0000FF" w:themeColor="hyperlink"/>
      <w:u w:val="single"/>
    </w:rPr>
  </w:style>
  <w:style w:type="character" w:customStyle="1" w:styleId="13">
    <w:name w:val="Неразрешенное упоминание1"/>
    <w:basedOn w:val="a0"/>
    <w:uiPriority w:val="99"/>
    <w:semiHidden/>
    <w:unhideWhenUsed/>
    <w:rPr>
      <w:color w:val="605E5C"/>
      <w:shd w:val="clear" w:color="auto" w:fill="E1DFDD"/>
    </w:rPr>
  </w:style>
  <w:style w:type="character" w:styleId="afd">
    <w:name w:val="line number"/>
    <w:basedOn w:val="a0"/>
    <w:uiPriority w:val="99"/>
    <w:semiHidden/>
    <w:unhideWhenUsed/>
  </w:style>
  <w:style w:type="paragraph" w:customStyle="1" w:styleId="Default">
    <w:name w:val="Default"/>
    <w:pPr>
      <w:spacing w:after="0" w:line="240" w:lineRule="auto"/>
    </w:pPr>
    <w:rPr>
      <w:rFonts w:ascii="Times New Roman" w:hAnsi="Times New Roman" w:cs="Times New Roman"/>
      <w:color w:val="000000"/>
      <w:sz w:val="24"/>
      <w:szCs w:val="24"/>
    </w:rPr>
  </w:style>
  <w:style w:type="paragraph" w:styleId="afe">
    <w:name w:val="List Paragraph"/>
    <w:basedOn w:val="a"/>
    <w:uiPriority w:val="34"/>
    <w:qFormat/>
    <w:pPr>
      <w:ind w:left="720"/>
      <w:contextualSpacing/>
    </w:pPr>
  </w:style>
  <w:style w:type="paragraph" w:customStyle="1" w:styleId="ConsPlusNormal">
    <w:name w:val="ConsPlusNormal"/>
    <w:pPr>
      <w:widowControl w:val="0"/>
      <w:spacing w:after="0" w:line="240" w:lineRule="auto"/>
    </w:pPr>
    <w:rPr>
      <w:rFonts w:ascii="Calibri" w:eastAsiaTheme="minorEastAsia" w:hAnsi="Calibri" w:cs="Calibri"/>
      <w:lang w:eastAsia="ru-RU"/>
    </w:rPr>
  </w:style>
  <w:style w:type="paragraph" w:styleId="aff">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F2CEC-AB92-40D3-8767-C7C903146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2192</Words>
  <Characters>12498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Мурашова Юлия Анатольевна</dc:creator>
  <cp:lastModifiedBy>Гурьева Виктория Викторовна</cp:lastModifiedBy>
  <cp:revision>3</cp:revision>
  <dcterms:created xsi:type="dcterms:W3CDTF">2025-09-22T05:47:00Z</dcterms:created>
  <dcterms:modified xsi:type="dcterms:W3CDTF">2026-10-01T04:43:00Z</dcterms:modified>
</cp:coreProperties>
</file>